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135F4357"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E252F3">
        <w:rPr>
          <w:rFonts w:cs="Arial"/>
          <w:b/>
          <w:bCs/>
          <w:kern w:val="0"/>
          <w:sz w:val="24"/>
        </w:rPr>
        <w:t xml:space="preserve">4e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sidR="00E252F3">
        <w:rPr>
          <w:rFonts w:cs="Arial"/>
          <w:b/>
          <w:bCs/>
          <w:kern w:val="0"/>
          <w:sz w:val="24"/>
        </w:rPr>
        <w:t xml:space="preserve">  </w:t>
      </w:r>
      <w:r w:rsidR="00F974D0">
        <w:rPr>
          <w:rFonts w:cs="Arial"/>
          <w:b/>
          <w:bCs/>
          <w:kern w:val="0"/>
          <w:sz w:val="24"/>
        </w:rPr>
        <w:t xml:space="preserve"> </w:t>
      </w:r>
      <w:r w:rsidR="00E252F3">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E252F3">
        <w:rPr>
          <w:rFonts w:cs="Arial"/>
          <w:b/>
          <w:bCs/>
          <w:kern w:val="0"/>
          <w:sz w:val="24"/>
        </w:rPr>
        <w:t>R2-2105158</w:t>
      </w:r>
    </w:p>
    <w:p w14:paraId="13013E51" w14:textId="317EF2E4"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21350C">
        <w:rPr>
          <w:rFonts w:cs="Arial"/>
          <w:b/>
          <w:bCs/>
          <w:kern w:val="0"/>
          <w:sz w:val="24"/>
          <w:lang w:val="en-GB"/>
        </w:rPr>
        <w:t>1</w:t>
      </w:r>
      <w:r w:rsidR="00E252F3">
        <w:rPr>
          <w:rFonts w:cs="Arial"/>
          <w:b/>
          <w:bCs/>
          <w:kern w:val="0"/>
          <w:sz w:val="24"/>
          <w:lang w:val="en-GB"/>
        </w:rPr>
        <w:t>9</w:t>
      </w:r>
      <w:r w:rsidR="0021350C">
        <w:rPr>
          <w:rFonts w:cs="Arial"/>
          <w:b/>
          <w:bCs/>
          <w:kern w:val="0"/>
          <w:sz w:val="24"/>
          <w:vertAlign w:val="superscript"/>
        </w:rPr>
        <w:t>th</w:t>
      </w:r>
      <w:r>
        <w:rPr>
          <w:rFonts w:cs="Arial"/>
          <w:b/>
          <w:bCs/>
          <w:kern w:val="0"/>
          <w:sz w:val="24"/>
          <w:lang w:val="en-GB"/>
        </w:rPr>
        <w:t xml:space="preserve"> – </w:t>
      </w:r>
      <w:r w:rsidR="0021350C">
        <w:rPr>
          <w:rFonts w:cs="Arial"/>
          <w:b/>
          <w:bCs/>
          <w:kern w:val="0"/>
          <w:sz w:val="24"/>
        </w:rPr>
        <w:t>2</w:t>
      </w:r>
      <w:r w:rsidR="00E252F3">
        <w:rPr>
          <w:rFonts w:cs="Arial"/>
          <w:b/>
          <w:bCs/>
          <w:kern w:val="0"/>
          <w:sz w:val="24"/>
        </w:rPr>
        <w:t>7</w:t>
      </w:r>
      <w:r>
        <w:rPr>
          <w:rFonts w:cs="Arial"/>
          <w:b/>
          <w:bCs/>
          <w:kern w:val="0"/>
          <w:sz w:val="24"/>
          <w:vertAlign w:val="superscript"/>
        </w:rPr>
        <w:t>th</w:t>
      </w:r>
      <w:r>
        <w:rPr>
          <w:rFonts w:cs="Arial"/>
          <w:b/>
          <w:bCs/>
          <w:kern w:val="0"/>
          <w:sz w:val="24"/>
          <w:lang w:val="en-GB"/>
        </w:rPr>
        <w:t xml:space="preserve"> </w:t>
      </w:r>
      <w:r w:rsidR="00E252F3">
        <w:rPr>
          <w:rFonts w:cs="Arial"/>
          <w:b/>
          <w:bCs/>
          <w:kern w:val="0"/>
          <w:sz w:val="24"/>
        </w:rPr>
        <w:t>May</w:t>
      </w:r>
      <w:r>
        <w:rPr>
          <w:rFonts w:cs="Arial" w:hint="eastAsia"/>
          <w:b/>
          <w:bCs/>
          <w:kern w:val="0"/>
          <w:sz w:val="24"/>
          <w:lang w:val="en-GB"/>
        </w:rPr>
        <w:t xml:space="preserve"> 20</w:t>
      </w:r>
      <w:r w:rsidR="0021350C">
        <w:rPr>
          <w:rFonts w:cs="Arial"/>
          <w:b/>
          <w:bCs/>
          <w:kern w:val="0"/>
          <w:sz w:val="24"/>
          <w:lang w:val="en-GB"/>
        </w:rPr>
        <w:t>21</w:t>
      </w:r>
      <w:r>
        <w:rPr>
          <w:rFonts w:cs="Arial"/>
          <w:b/>
          <w:bCs/>
          <w:kern w:val="0"/>
          <w:sz w:val="24"/>
          <w:lang w:val="en-GB"/>
        </w:rPr>
        <w:t xml:space="preserve"> </w:t>
      </w:r>
      <w:r w:rsidR="00E252F3">
        <w:rPr>
          <w:rFonts w:cs="Arial"/>
          <w:b/>
          <w:bCs/>
          <w:kern w:val="0"/>
          <w:sz w:val="24"/>
          <w:lang w:val="en-GB"/>
        </w:rPr>
        <w:t xml:space="preserve">                          </w:t>
      </w:r>
      <w:r w:rsidR="00E252F3" w:rsidRPr="00E252F3">
        <w:rPr>
          <w:rFonts w:cs="Arial"/>
          <w:b/>
          <w:bCs/>
          <w:color w:val="9A9B9D" w:themeColor="background2" w:themeTint="99"/>
          <w:kern w:val="0"/>
          <w:sz w:val="24"/>
          <w:lang w:val="en-GB"/>
        </w:rPr>
        <w:t xml:space="preserve">(revision of </w:t>
      </w:r>
      <w:r w:rsidR="00E252F3" w:rsidRPr="00E252F3">
        <w:rPr>
          <w:rFonts w:cs="Arial" w:hint="eastAsia"/>
          <w:b/>
          <w:bCs/>
          <w:color w:val="9A9B9D" w:themeColor="background2" w:themeTint="99"/>
          <w:kern w:val="0"/>
          <w:sz w:val="24"/>
          <w:lang w:val="en-GB"/>
        </w:rPr>
        <w:t>R2-</w:t>
      </w:r>
      <w:r w:rsidR="00E252F3" w:rsidRPr="00E252F3">
        <w:rPr>
          <w:rFonts w:cs="Arial"/>
          <w:b/>
          <w:bCs/>
          <w:color w:val="9A9B9D" w:themeColor="background2" w:themeTint="99"/>
          <w:kern w:val="0"/>
          <w:sz w:val="24"/>
          <w:lang w:val="en-GB"/>
        </w:rPr>
        <w:t>2103036)</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0AF0403E"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21350C" w:rsidRPr="0021350C">
        <w:rPr>
          <w:rFonts w:cs="Arial"/>
          <w:b/>
          <w:bCs/>
          <w:snapToGrid w:val="0"/>
          <w:kern w:val="0"/>
          <w:sz w:val="24"/>
        </w:rPr>
        <w:t>Discussion on UE behaviour when SCG is deactivated</w:t>
      </w:r>
    </w:p>
    <w:p w14:paraId="774FE3B4" w14:textId="6A2208D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A27555">
        <w:rPr>
          <w:rFonts w:cs="Arial"/>
          <w:b/>
          <w:bCs/>
          <w:snapToGrid w:val="0"/>
          <w:kern w:val="0"/>
          <w:sz w:val="24"/>
        </w:rPr>
        <w:t>8.2.2</w:t>
      </w:r>
      <w:r w:rsidR="0021350C">
        <w:rPr>
          <w:rFonts w:cs="Arial"/>
          <w:b/>
          <w:bCs/>
          <w:snapToGrid w:val="0"/>
          <w:kern w:val="0"/>
          <w:sz w:val="24"/>
        </w:rPr>
        <w:t>.2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60F3C65" w14:textId="4310E217" w:rsidR="0021350C" w:rsidRDefault="0021350C" w:rsidP="00A07A65">
      <w:pPr>
        <w:spacing w:before="120" w:after="0"/>
      </w:pPr>
      <w:r>
        <w:t>After RAN2_113e meeting, for UE behaviour when SCG is deactivated, RAN2 have made following agreements:</w:t>
      </w:r>
    </w:p>
    <w:p w14:paraId="6F5ECE7A" w14:textId="77777777" w:rsidR="0021350C" w:rsidRPr="00C467F7" w:rsidRDefault="0021350C" w:rsidP="0021350C">
      <w:pPr>
        <w:pStyle w:val="Agreement"/>
        <w:pBdr>
          <w:top w:val="single" w:sz="4" w:space="1" w:color="auto"/>
          <w:left w:val="single" w:sz="4" w:space="4" w:color="auto"/>
          <w:bottom w:val="single" w:sz="4" w:space="1" w:color="auto"/>
          <w:right w:val="single" w:sz="4" w:space="4" w:color="auto"/>
        </w:pBdr>
        <w:tabs>
          <w:tab w:val="clear" w:pos="1619"/>
        </w:tabs>
        <w:ind w:left="567" w:hanging="283"/>
      </w:pPr>
      <w:r w:rsidRPr="00C467F7">
        <w:t>Agreements</w:t>
      </w:r>
    </w:p>
    <w:p w14:paraId="3A831A23" w14:textId="77777777" w:rsidR="0021350C" w:rsidRPr="00C467F7" w:rsidRDefault="0021350C" w:rsidP="0021350C">
      <w:pPr>
        <w:pStyle w:val="Agreement"/>
        <w:pBdr>
          <w:top w:val="single" w:sz="4" w:space="1" w:color="auto"/>
          <w:left w:val="single" w:sz="4" w:space="4" w:color="auto"/>
          <w:bottom w:val="single" w:sz="4" w:space="1" w:color="auto"/>
          <w:right w:val="single" w:sz="4" w:space="4" w:color="auto"/>
        </w:pBdr>
        <w:tabs>
          <w:tab w:val="clear" w:pos="1619"/>
        </w:tabs>
        <w:spacing w:before="0" w:after="0"/>
        <w:ind w:left="568" w:hanging="284"/>
      </w:pPr>
      <w:r w:rsidRPr="00C467F7">
        <w:t xml:space="preserve">1 </w:t>
      </w:r>
      <w:r w:rsidRPr="00C467F7">
        <w:tab/>
        <w:t>Confirm that there is no PUSCH transmission on deactivated SCG. FFS if any other UL is allowed towards SCG.</w:t>
      </w:r>
    </w:p>
    <w:p w14:paraId="528E798B" w14:textId="77777777" w:rsidR="0021350C" w:rsidRPr="00C467F7" w:rsidRDefault="0021350C" w:rsidP="0021350C">
      <w:pPr>
        <w:pStyle w:val="Agreement"/>
        <w:pBdr>
          <w:top w:val="single" w:sz="4" w:space="1" w:color="auto"/>
          <w:left w:val="single" w:sz="4" w:space="4" w:color="auto"/>
          <w:bottom w:val="single" w:sz="4" w:space="1" w:color="auto"/>
          <w:right w:val="single" w:sz="4" w:space="4" w:color="auto"/>
        </w:pBdr>
        <w:tabs>
          <w:tab w:val="clear" w:pos="1619"/>
        </w:tabs>
        <w:spacing w:before="0" w:after="0"/>
        <w:ind w:left="568" w:hanging="284"/>
      </w:pPr>
      <w:r w:rsidRPr="00C467F7">
        <w:t xml:space="preserve">2 </w:t>
      </w:r>
      <w:r w:rsidRPr="00C467F7">
        <w:tab/>
        <w:t>Confirm that there is no PDCCH monitoring on PSCell of the deactivated SCG.</w:t>
      </w:r>
    </w:p>
    <w:p w14:paraId="3ED9B89D" w14:textId="77777777" w:rsidR="0021350C" w:rsidRPr="00C467F7" w:rsidRDefault="0021350C" w:rsidP="0021350C">
      <w:pPr>
        <w:pStyle w:val="Agreement"/>
        <w:pBdr>
          <w:top w:val="single" w:sz="4" w:space="1" w:color="auto"/>
          <w:left w:val="single" w:sz="4" w:space="4" w:color="auto"/>
          <w:bottom w:val="single" w:sz="4" w:space="1" w:color="auto"/>
          <w:right w:val="single" w:sz="4" w:space="4" w:color="auto"/>
        </w:pBdr>
        <w:tabs>
          <w:tab w:val="clear" w:pos="1619"/>
        </w:tabs>
        <w:spacing w:before="0" w:after="0"/>
        <w:ind w:left="568" w:hanging="284"/>
      </w:pPr>
      <w:r w:rsidRPr="00C467F7">
        <w:t xml:space="preserve">3 </w:t>
      </w:r>
      <w:r w:rsidRPr="00C467F7">
        <w:tab/>
        <w:t>Confirm that there is no support of SCell dormancy for SCG SCells within a deactivated SCG.</w:t>
      </w:r>
    </w:p>
    <w:p w14:paraId="0C4287C2" w14:textId="1B5CCD4A" w:rsidR="0021350C" w:rsidRDefault="0021350C" w:rsidP="00A07A65">
      <w:pPr>
        <w:spacing w:before="120" w:after="0"/>
      </w:pPr>
      <w:r>
        <w:t xml:space="preserve">In addition, companies discussed the necessity of </w:t>
      </w:r>
      <w:r w:rsidR="00176DD7">
        <w:t>RACH procedure when UE performs SCG activation. And whether/how to perform</w:t>
      </w:r>
      <w:r>
        <w:t xml:space="preserve"> </w:t>
      </w:r>
      <w:r w:rsidR="00176DD7">
        <w:t xml:space="preserve">RLM/BFD/RRM </w:t>
      </w:r>
      <w:r>
        <w:t xml:space="preserve">during SCG deactivation state. </w:t>
      </w:r>
      <w:r w:rsidR="00176DD7">
        <w:t xml:space="preserve">However, there is no much progress due to divergent views. </w:t>
      </w:r>
      <w:r>
        <w:t xml:space="preserve"> </w:t>
      </w:r>
    </w:p>
    <w:p w14:paraId="11DACD8F" w14:textId="5CE1408A" w:rsidR="0021350C" w:rsidRPr="0021350C" w:rsidRDefault="0021350C" w:rsidP="00176DD7">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Agreements</w:t>
      </w:r>
    </w:p>
    <w:p w14:paraId="120CA811"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2</w:t>
      </w:r>
      <w:r w:rsidRPr="0021350C">
        <w:rPr>
          <w:rFonts w:eastAsia="Times New Roman"/>
          <w:b/>
          <w:kern w:val="0"/>
          <w:szCs w:val="20"/>
          <w:lang w:val="en-GB" w:eastAsia="ja-JP"/>
        </w:rPr>
        <w:tab/>
        <w:t>The UE behaviour when the SCG activation is indicated to the UE via the MCG is one or more of the following options:</w:t>
      </w:r>
    </w:p>
    <w:p w14:paraId="0A984F8F"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option 1)</w:t>
      </w:r>
      <w:r w:rsidRPr="0021350C">
        <w:rPr>
          <w:rFonts w:eastAsia="Times New Roman"/>
          <w:b/>
          <w:kern w:val="0"/>
          <w:szCs w:val="20"/>
          <w:lang w:val="en-GB" w:eastAsia="ja-JP"/>
        </w:rPr>
        <w:tab/>
        <w:t>similar to reconfiguration with sync, i.e. the UE always initiates random access to the PSCell.</w:t>
      </w:r>
    </w:p>
    <w:p w14:paraId="1030E5B3"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option 2)</w:t>
      </w:r>
      <w:r w:rsidRPr="0021350C">
        <w:rPr>
          <w:rFonts w:eastAsia="Times New Roman"/>
          <w:b/>
          <w:kern w:val="0"/>
          <w:szCs w:val="20"/>
          <w:lang w:val="en-GB" w:eastAsia="ja-JP"/>
        </w:rPr>
        <w:tab/>
        <w:t>in certain cases:</w:t>
      </w:r>
    </w:p>
    <w:p w14:paraId="3EE8BD76"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w:t>
      </w:r>
      <w:r w:rsidRPr="0021350C">
        <w:rPr>
          <w:rFonts w:eastAsia="Times New Roman"/>
          <w:b/>
          <w:kern w:val="0"/>
          <w:szCs w:val="20"/>
          <w:lang w:val="en-GB" w:eastAsia="ja-JP"/>
        </w:rPr>
        <w:tab/>
        <w:t>the UE does not initiate random access and monitors PDCCH on the PSCell (at the latest after the specified processing time).</w:t>
      </w:r>
    </w:p>
    <w:p w14:paraId="01B92742"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w:t>
      </w:r>
      <w:r w:rsidRPr="0021350C">
        <w:rPr>
          <w:rFonts w:eastAsia="Times New Roman"/>
          <w:b/>
          <w:kern w:val="0"/>
          <w:szCs w:val="20"/>
          <w:lang w:val="en-GB" w:eastAsia="ja-JP"/>
        </w:rPr>
        <w:tab/>
        <w:t>the SCG can schedule data transmission on the PDCCH</w:t>
      </w:r>
    </w:p>
    <w:p w14:paraId="3723C06E"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The UE decides not to perform random access (one option to be selected):</w:t>
      </w:r>
    </w:p>
    <w:p w14:paraId="719A114E"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option 2a) if the TA timer is still running and possibly other conditions (FFS how TAT starts)</w:t>
      </w:r>
    </w:p>
    <w:p w14:paraId="3E96C9E8"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option 2b) based on the contents of the SCG activation indication</w:t>
      </w:r>
    </w:p>
    <w:p w14:paraId="39CCAAC3"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FFS for option 2a): in the SCG deactivated state, the UE monitors some DL beams (FFS if the same as BFD or RLM) and, if the UE sees that the beams are not good enough (details FFS), the UE either (one of the options to be selected):</w:t>
      </w:r>
    </w:p>
    <w:p w14:paraId="7BBFE0BD"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w:t>
      </w:r>
      <w:r w:rsidRPr="0021350C">
        <w:rPr>
          <w:rFonts w:eastAsia="Times New Roman"/>
          <w:b/>
          <w:kern w:val="0"/>
          <w:szCs w:val="20"/>
          <w:lang w:val="en-GB" w:eastAsia="ja-JP"/>
        </w:rPr>
        <w:tab/>
        <w:t>will perform random access upon reception of the next SCG activation indication from the MCG</w:t>
      </w:r>
    </w:p>
    <w:p w14:paraId="0B1DB411"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w:t>
      </w:r>
      <w:r w:rsidRPr="0021350C">
        <w:rPr>
          <w:rFonts w:eastAsia="Times New Roman"/>
          <w:b/>
          <w:kern w:val="0"/>
          <w:szCs w:val="20"/>
          <w:lang w:val="en-GB" w:eastAsia="ja-JP"/>
        </w:rPr>
        <w:tab/>
        <w:t>reports measurement results (details FFS) via the MCG and wait for reconfiguration.</w:t>
      </w:r>
    </w:p>
    <w:p w14:paraId="0D9197F7"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p>
    <w:p w14:paraId="2CB0CF0E" w14:textId="61E2CB0E"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7</w:t>
      </w:r>
      <w:r w:rsidRPr="0021350C">
        <w:rPr>
          <w:rFonts w:eastAsia="Times New Roman"/>
          <w:b/>
          <w:kern w:val="0"/>
          <w:szCs w:val="20"/>
          <w:lang w:val="en-GB" w:eastAsia="ja-JP"/>
        </w:rPr>
        <w:tab/>
        <w:t>Further discuss the format and content of the SCG activation indication from the MCG to the UE after there is more progress on solution 2.</w:t>
      </w:r>
    </w:p>
    <w:p w14:paraId="1604063C"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lastRenderedPageBreak/>
        <w:t>5</w:t>
      </w:r>
      <w:r w:rsidRPr="0021350C">
        <w:rPr>
          <w:rFonts w:eastAsia="Times New Roman"/>
          <w:b/>
          <w:kern w:val="0"/>
          <w:szCs w:val="20"/>
          <w:lang w:val="en-GB" w:eastAsia="ja-JP"/>
        </w:rPr>
        <w:tab/>
        <w:t>Continue to discuss whether some kind of beam monitoring (similar to RLM/BFD) should be supported when the SCG is deactivated. FFS if this only applies to when TAT is running.</w:t>
      </w:r>
    </w:p>
    <w:p w14:paraId="336FDD7A" w14:textId="77777777" w:rsidR="0021350C" w:rsidRPr="0021350C" w:rsidRDefault="0021350C" w:rsidP="0021350C">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6</w:t>
      </w:r>
      <w:r w:rsidRPr="0021350C">
        <w:rPr>
          <w:rFonts w:eastAsia="Times New Roman"/>
          <w:b/>
          <w:kern w:val="0"/>
          <w:szCs w:val="20"/>
          <w:lang w:val="en-GB" w:eastAsia="ja-JP"/>
        </w:rPr>
        <w:tab/>
        <w:t>Clarify the meaning of "the UE maintains DL sync while the SCG is deactivated" (e.g. whether that is a consequence of doing RRM measurements of the PSCell or something more is needed).</w:t>
      </w:r>
    </w:p>
    <w:p w14:paraId="58173A97" w14:textId="04E455A9" w:rsidR="0043711F" w:rsidRDefault="00176DD7" w:rsidP="006D2426">
      <w:pPr>
        <w:spacing w:before="120" w:after="0"/>
      </w:pPr>
      <w:r>
        <w:t>In this document, we continue discussing above remaining issues, and shared our views</w:t>
      </w:r>
      <w:r w:rsidR="006D2426">
        <w:t xml:space="preserve">. </w:t>
      </w:r>
    </w:p>
    <w:p w14:paraId="02C2FE69" w14:textId="686B19A1" w:rsidR="00015639" w:rsidRDefault="008C52C2"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Consideration on RACH, </w:t>
      </w:r>
      <w:r w:rsidR="00A20660">
        <w:rPr>
          <w:rFonts w:cs="Arial"/>
          <w:b w:val="0"/>
          <w:bCs w:val="0"/>
          <w:kern w:val="0"/>
          <w:sz w:val="32"/>
          <w:szCs w:val="36"/>
        </w:rPr>
        <w:t>beam management</w:t>
      </w:r>
      <w:r w:rsidR="00A81403">
        <w:rPr>
          <w:rFonts w:cs="Arial"/>
          <w:b w:val="0"/>
          <w:bCs w:val="0"/>
          <w:kern w:val="0"/>
          <w:sz w:val="32"/>
          <w:szCs w:val="36"/>
        </w:rPr>
        <w:t xml:space="preserve"> and </w:t>
      </w:r>
      <w:r w:rsidR="00D10F64">
        <w:rPr>
          <w:rFonts w:cs="Arial"/>
          <w:b w:val="0"/>
          <w:bCs w:val="0"/>
          <w:kern w:val="0"/>
          <w:sz w:val="32"/>
          <w:szCs w:val="36"/>
        </w:rPr>
        <w:t>RLM/</w:t>
      </w:r>
      <w:r w:rsidR="00A81403">
        <w:rPr>
          <w:rFonts w:cs="Arial"/>
          <w:b w:val="0"/>
          <w:bCs w:val="0"/>
          <w:kern w:val="0"/>
          <w:sz w:val="32"/>
          <w:szCs w:val="36"/>
        </w:rPr>
        <w:t xml:space="preserve">BFD </w:t>
      </w:r>
    </w:p>
    <w:p w14:paraId="016005CE" w14:textId="5CF4B6D6" w:rsidR="00015639" w:rsidRDefault="00015639" w:rsidP="00015639">
      <w:r>
        <w:t>Based on RAN2_113e agreements, when SCG is deactivated, UE does not monitor PDCCH of PSCell, and does not transmit PUSCH in SCG. However, companies haven’t concluded whether following</w:t>
      </w:r>
      <w:r w:rsidR="00002196">
        <w:t xml:space="preserve"> action</w:t>
      </w:r>
      <w:r>
        <w:t xml:space="preserve">s are needed. </w:t>
      </w:r>
    </w:p>
    <w:p w14:paraId="6BA986C6" w14:textId="5092BB2E" w:rsidR="00015639" w:rsidRDefault="00002196" w:rsidP="008C52C2">
      <w:pPr>
        <w:pStyle w:val="afffffff3"/>
        <w:numPr>
          <w:ilvl w:val="0"/>
          <w:numId w:val="31"/>
        </w:numPr>
      </w:pPr>
      <w:r>
        <w:t>Action</w:t>
      </w:r>
      <w:r w:rsidR="00015639">
        <w:t xml:space="preserve"> 1</w:t>
      </w:r>
      <w:r w:rsidR="00015639">
        <w:rPr>
          <w:rFonts w:hint="eastAsia"/>
        </w:rPr>
        <w:t>:</w:t>
      </w:r>
      <w:r w:rsidR="00015639">
        <w:t xml:space="preserve"> </w:t>
      </w:r>
      <w:r>
        <w:t xml:space="preserve">TAT handling, e.g. </w:t>
      </w:r>
      <w:r w:rsidR="00015639">
        <w:t>RACH;</w:t>
      </w:r>
    </w:p>
    <w:p w14:paraId="6F36D926" w14:textId="6A2AFBDB" w:rsidR="00A67AB7" w:rsidRDefault="00A67AB7" w:rsidP="00A67AB7">
      <w:pPr>
        <w:pStyle w:val="afffffff3"/>
        <w:numPr>
          <w:ilvl w:val="0"/>
          <w:numId w:val="31"/>
        </w:numPr>
      </w:pPr>
      <w:r>
        <w:t>Action 2: Beam management/CSI</w:t>
      </w:r>
    </w:p>
    <w:p w14:paraId="3CB02571" w14:textId="3B559BCB" w:rsidR="00015639" w:rsidRDefault="00015639" w:rsidP="008C52C2">
      <w:pPr>
        <w:pStyle w:val="afffffff3"/>
        <w:numPr>
          <w:ilvl w:val="0"/>
          <w:numId w:val="31"/>
        </w:numPr>
      </w:pPr>
      <w:r>
        <w:t>A</w:t>
      </w:r>
      <w:r w:rsidR="00002196">
        <w:t>ction</w:t>
      </w:r>
      <w:r>
        <w:t xml:space="preserve"> </w:t>
      </w:r>
      <w:r w:rsidR="00A67AB7">
        <w:t>3</w:t>
      </w:r>
      <w:r>
        <w:t xml:space="preserve">: </w:t>
      </w:r>
      <w:r w:rsidR="00A67AB7">
        <w:t>BFD</w:t>
      </w:r>
      <w:r>
        <w:t>;</w:t>
      </w:r>
    </w:p>
    <w:p w14:paraId="50D008AB" w14:textId="6E44E39E" w:rsidR="00015639" w:rsidRDefault="00DD6132" w:rsidP="008C52C2">
      <w:pPr>
        <w:pStyle w:val="afffffff3"/>
        <w:numPr>
          <w:ilvl w:val="0"/>
          <w:numId w:val="31"/>
        </w:numPr>
      </w:pPr>
      <w:r>
        <w:t>A</w:t>
      </w:r>
      <w:r w:rsidR="00002196">
        <w:t>ction</w:t>
      </w:r>
      <w:r>
        <w:t xml:space="preserve"> </w:t>
      </w:r>
      <w:r w:rsidR="00A67AB7">
        <w:t>4</w:t>
      </w:r>
      <w:r>
        <w:t xml:space="preserve">: </w:t>
      </w:r>
      <w:r w:rsidR="00A67AB7">
        <w:t>RLM</w:t>
      </w:r>
      <w:r>
        <w:t xml:space="preserve">; </w:t>
      </w:r>
      <w:r w:rsidR="00015639">
        <w:t xml:space="preserve"> </w:t>
      </w:r>
    </w:p>
    <w:p w14:paraId="73D6FABB" w14:textId="1B166864" w:rsidR="001E241F" w:rsidRDefault="00F24395" w:rsidP="00015639">
      <w:r>
        <w:t>Durin</w:t>
      </w:r>
      <w:r w:rsidR="00DD6132">
        <w:t>g past discussion, th</w:t>
      </w:r>
      <w:r w:rsidR="00002196">
        <w:rPr>
          <w:rFonts w:hint="eastAsia"/>
        </w:rPr>
        <w:t>ese</w:t>
      </w:r>
      <w:r w:rsidR="00DD6132">
        <w:t xml:space="preserve"> </w:t>
      </w:r>
      <w:r w:rsidR="00002196">
        <w:t>aspects were</w:t>
      </w:r>
      <w:r w:rsidR="00DD6132">
        <w:t xml:space="preserve"> discussed s</w:t>
      </w:r>
      <w:r w:rsidR="00002196">
        <w:t xml:space="preserve">eparately. However, it is hard to reach consensus because those actions are </w:t>
      </w:r>
      <w:r w:rsidR="00002196">
        <w:rPr>
          <w:rFonts w:hint="eastAsia"/>
        </w:rPr>
        <w:t>related</w:t>
      </w:r>
      <w:r w:rsidR="00002196">
        <w:t xml:space="preserve">. </w:t>
      </w:r>
      <w:r w:rsidR="00214EA5">
        <w:t xml:space="preserve">For instance, if </w:t>
      </w:r>
      <w:r w:rsidR="002B1601">
        <w:t xml:space="preserve">we want to omit </w:t>
      </w:r>
      <w:r w:rsidR="00214EA5">
        <w:t xml:space="preserve">RACH </w:t>
      </w:r>
      <w:r w:rsidR="002B1601">
        <w:t>procedure</w:t>
      </w:r>
      <w:r w:rsidR="00214EA5">
        <w:t xml:space="preserve"> upon SCG activation</w:t>
      </w:r>
      <w:r w:rsidR="002B1601">
        <w:t xml:space="preserve"> (e.g. keeps TAT running), we should consider other </w:t>
      </w:r>
      <w:r w:rsidR="00BE174A">
        <w:t>means</w:t>
      </w:r>
      <w:r w:rsidR="002B1601">
        <w:t xml:space="preserve"> to ensure</w:t>
      </w:r>
      <w:r w:rsidR="00385AB2">
        <w:t xml:space="preserve"> the UE monitoring the DL beams</w:t>
      </w:r>
      <w:r w:rsidR="002B1601">
        <w:t>, so that UE can successfully receive DL date upon SCG activation</w:t>
      </w:r>
      <w:r w:rsidR="00214EA5">
        <w:t xml:space="preserve">. </w:t>
      </w:r>
      <w:r w:rsidR="00163C8F">
        <w:t>On the other han</w:t>
      </w:r>
      <w:r w:rsidR="00414305">
        <w:t>d,</w:t>
      </w:r>
      <w:r w:rsidR="002B1601">
        <w:t xml:space="preserve"> RAN2 agreed</w:t>
      </w:r>
      <w:r w:rsidR="00214EA5">
        <w:t xml:space="preserve"> SRS is not supported</w:t>
      </w:r>
      <w:r w:rsidR="002B1601">
        <w:t xml:space="preserve"> for SCG deactivation, </w:t>
      </w:r>
      <w:r w:rsidR="004D3182">
        <w:t>so to estimate</w:t>
      </w:r>
      <w:r w:rsidR="003C23EC">
        <w:t xml:space="preserve"> DL</w:t>
      </w:r>
      <w:r w:rsidR="004D3182">
        <w:t xml:space="preserve"> channel quality</w:t>
      </w:r>
      <w:r w:rsidR="00414305">
        <w:t>, and to make sure UE can be efficiently scheduled</w:t>
      </w:r>
      <w:r w:rsidR="004D3182">
        <w:t xml:space="preserve">, </w:t>
      </w:r>
      <w:r w:rsidR="00BE174A">
        <w:t>beam</w:t>
      </w:r>
      <w:r w:rsidR="003C23EC">
        <w:t xml:space="preserve"> measurement and reporting </w:t>
      </w:r>
      <w:r w:rsidR="00414305">
        <w:t>is most likely</w:t>
      </w:r>
      <w:r w:rsidR="004D3182">
        <w:t xml:space="preserve"> needed. </w:t>
      </w:r>
      <w:r w:rsidR="00D003E1">
        <w:t xml:space="preserve">In addition, </w:t>
      </w:r>
      <w:r w:rsidR="001E241F">
        <w:t>without BFD, the UE may lost beam alignment, if the UE also skips RACH procedure, then it will cause long latency</w:t>
      </w:r>
      <w:r w:rsidR="000D40A5">
        <w:t xml:space="preserve"> or</w:t>
      </w:r>
      <w:r w:rsidR="001E241F">
        <w:t xml:space="preserve"> probably failure of SCG activation. </w:t>
      </w:r>
    </w:p>
    <w:p w14:paraId="3CFACDEA" w14:textId="4B01ECB5" w:rsidR="001E241F" w:rsidRDefault="001E241F" w:rsidP="001E241F">
      <w:r>
        <w:t xml:space="preserve">So if we want to avoid RACH procedure upon SCG activation, performing beam management and BFD during SCG activation should be considered. </w:t>
      </w:r>
    </w:p>
    <w:p w14:paraId="3988FB1D" w14:textId="100CF846" w:rsidR="002529E1" w:rsidRDefault="002529E1" w:rsidP="00323A95">
      <w:pPr>
        <w:ind w:left="1418" w:hanging="1418"/>
        <w:rPr>
          <w:b/>
        </w:rPr>
      </w:pPr>
      <w:r>
        <w:rPr>
          <w:b/>
        </w:rPr>
        <w:t>Observation 1: If we aim to support RACH-less SCG activation, the UE should support performing beam monitoring (e.g. RLM, BFD, beam management) so that UE knows whether the serving beams are valid/usable upon SCG activation.</w:t>
      </w:r>
    </w:p>
    <w:p w14:paraId="38267341" w14:textId="475CCED5" w:rsidR="00932E90" w:rsidRDefault="000D40A5" w:rsidP="00015639">
      <w:r>
        <w:t xml:space="preserve">In our understanding, when discussing the UE behaviour under SCG deactivation, </w:t>
      </w:r>
      <w:r w:rsidR="008D5390">
        <w:t xml:space="preserve">we should discuss and find complete and workable solution that covering all related actions. </w:t>
      </w:r>
      <w:r w:rsidR="00214EA5">
        <w:t>For instance, if UE always stops TA timer when SCG is deactivated, then UE is required to perform RACH when activating the SCG. In this</w:t>
      </w:r>
      <w:r w:rsidR="008D5390">
        <w:t xml:space="preserve"> case, both network and UE can obtain beam alignment information during RACH procedure, thus</w:t>
      </w:r>
      <w:r w:rsidR="00214EA5">
        <w:t xml:space="preserve"> </w:t>
      </w:r>
      <w:r w:rsidR="008D5390">
        <w:t>beam management</w:t>
      </w:r>
      <w:r w:rsidR="00EE1CF8">
        <w:t xml:space="preserve"> </w:t>
      </w:r>
      <w:r w:rsidR="008D5390">
        <w:t>during SCG deactivation</w:t>
      </w:r>
      <w:r w:rsidR="00214EA5">
        <w:t xml:space="preserve"> seems not </w:t>
      </w:r>
      <w:r w:rsidR="008D5390">
        <w:t xml:space="preserve">critical. For BFD, although it can help UE to be aware of degraded beam timely, </w:t>
      </w:r>
      <w:r w:rsidR="00801995">
        <w:t xml:space="preserve">it </w:t>
      </w:r>
      <w:r w:rsidR="00711599">
        <w:t xml:space="preserve">does </w:t>
      </w:r>
      <w:r w:rsidR="00801995">
        <w:t xml:space="preserve">not worth defining complex mechanism to support BFD </w:t>
      </w:r>
      <w:r w:rsidR="000F3B7E">
        <w:t xml:space="preserve">RS </w:t>
      </w:r>
      <w:r w:rsidR="00711599">
        <w:t>re-configuration</w:t>
      </w:r>
      <w:r w:rsidR="000F3B7E">
        <w:t xml:space="preserve"> or BFR</w:t>
      </w:r>
      <w:r w:rsidR="00801995">
        <w:t xml:space="preserve"> if we don’t aim to support RACH-less SCG activation</w:t>
      </w:r>
      <w:r w:rsidR="007559F6">
        <w:t>.</w:t>
      </w:r>
    </w:p>
    <w:p w14:paraId="3B4574AF" w14:textId="77777777" w:rsidR="002529E1" w:rsidRDefault="002529E1" w:rsidP="002529E1">
      <w:pPr>
        <w:ind w:left="1418" w:hanging="1418"/>
      </w:pPr>
      <w:r>
        <w:rPr>
          <w:b/>
        </w:rPr>
        <w:t>Observation 2: Handling of TA, RLM, BFD and beam management upon SCG deactivation should be discussed and decided together</w:t>
      </w:r>
      <w:r>
        <w:rPr>
          <w:rFonts w:hint="eastAsia"/>
          <w:b/>
        </w:rPr>
        <w:t>.</w:t>
      </w:r>
    </w:p>
    <w:p w14:paraId="0FBEF038" w14:textId="25533AB4" w:rsidR="00711599" w:rsidRDefault="002529E1" w:rsidP="00015639">
      <w:r>
        <w:t xml:space="preserve">Based on previous discussion, </w:t>
      </w:r>
      <w:r w:rsidR="00CE0BE0">
        <w:t>some company suggests to</w:t>
      </w:r>
      <w:r>
        <w:t xml:space="preserve"> always perform RACH upon SCG activation. The advantage of this solution is less spec impact and less standard effort, but clearly, the drawback is long latency caused by RACH procedure</w:t>
      </w:r>
      <w:r w:rsidR="0007143C">
        <w:t xml:space="preserve">. </w:t>
      </w:r>
      <w:r>
        <w:t>In Rel-17, reduced SCG activation time should be a key factor that is pursued, so we suggest to support</w:t>
      </w:r>
      <w:r w:rsidR="00D75BD9">
        <w:t xml:space="preserve"> RACH-less SCG activation, more specifically, as we discussed above, at </w:t>
      </w:r>
      <w:r w:rsidR="00D75BD9">
        <w:lastRenderedPageBreak/>
        <w:t xml:space="preserve">least RLM, BFD and beam management </w:t>
      </w:r>
      <w:r w:rsidR="00711599">
        <w:t>are needed</w:t>
      </w:r>
      <w:r w:rsidR="00CD5591">
        <w:t xml:space="preserve">. </w:t>
      </w:r>
    </w:p>
    <w:p w14:paraId="7B71391F" w14:textId="10392569" w:rsidR="00F14585" w:rsidRDefault="00F14585" w:rsidP="00F14585">
      <w:pPr>
        <w:ind w:left="1134" w:hanging="1134"/>
        <w:rPr>
          <w:b/>
        </w:rPr>
      </w:pPr>
      <w:r>
        <w:rPr>
          <w:b/>
        </w:rPr>
        <w:t xml:space="preserve">Proposal 1: UE keeps TA timer running when entering SCG deactivation. While SCG is deactivated and TAT is running, UE </w:t>
      </w:r>
      <w:r w:rsidR="00CD5591">
        <w:rPr>
          <w:b/>
        </w:rPr>
        <w:t xml:space="preserve">supports </w:t>
      </w:r>
      <w:r>
        <w:rPr>
          <w:b/>
        </w:rPr>
        <w:t>perform</w:t>
      </w:r>
      <w:r w:rsidR="00CD5591">
        <w:rPr>
          <w:b/>
        </w:rPr>
        <w:t>ing</w:t>
      </w:r>
      <w:r>
        <w:rPr>
          <w:b/>
        </w:rPr>
        <w:t xml:space="preserve"> </w:t>
      </w:r>
      <w:r w:rsidR="00CD5591">
        <w:rPr>
          <w:b/>
        </w:rPr>
        <w:t xml:space="preserve">RLM, </w:t>
      </w:r>
      <w:r>
        <w:rPr>
          <w:b/>
        </w:rPr>
        <w:t>BFD and beam management.</w:t>
      </w:r>
    </w:p>
    <w:p w14:paraId="0AA0D67E" w14:textId="77777777" w:rsidR="00085044" w:rsidRDefault="00711599" w:rsidP="00711599">
      <w:r>
        <w:t xml:space="preserve">In Rel-15, UE performs RLM and BFD when network configures “RadioLinkMonitoringConfig”, </w:t>
      </w:r>
      <w:r>
        <w:rPr>
          <w:rFonts w:hint="eastAsia"/>
        </w:rPr>
        <w:t>i</w:t>
      </w:r>
      <w:r>
        <w:t>n our understanding, th</w:t>
      </w:r>
      <w:r>
        <w:rPr>
          <w:rFonts w:hint="eastAsia"/>
        </w:rPr>
        <w:t>e</w:t>
      </w:r>
      <w:r>
        <w:t xml:space="preserve"> same principle can be applied here. That </w:t>
      </w:r>
      <w:r w:rsidR="00085044">
        <w:t xml:space="preserve">it is up to network implementation whether to enable RLM or BFD when UE enters SCG deactivation. </w:t>
      </w:r>
    </w:p>
    <w:p w14:paraId="6D4120EC" w14:textId="77777777" w:rsidR="00085044" w:rsidRDefault="00085044" w:rsidP="00711599">
      <w:r>
        <w:t xml:space="preserve">However, as we discussed above, UE can omit RACH procedure when TA timer is running and DL beam is still good. If TA timer expires, the UE is required to do RACH upon SCG activation, thus performing RLM/BFD, beam management after TAT expires does not bring much benefit. So we suggest to stop RLM, BFD and beam management upon TAT expires. </w:t>
      </w:r>
    </w:p>
    <w:p w14:paraId="12485E76" w14:textId="524C2C77" w:rsidR="00711599" w:rsidRPr="00711599" w:rsidRDefault="00085044" w:rsidP="00711599">
      <w:r>
        <w:t>On the other hand, there was proposal to support UE to send failure report to network when e.g. BFD failure is detected, and network can update the BFD reference signal then. In our understanding, this works and can provide more chance to UE to do RACH-less SCG activation. However, due to the limited time of work item and there are several remaining issues (e.g. UE triggered SCG activation) that need discussion, we would prefer a simple solution in Rel-17</w:t>
      </w:r>
      <w:r>
        <w:rPr>
          <w:rFonts w:hint="eastAsia"/>
        </w:rPr>
        <w:t>.</w:t>
      </w:r>
      <w:r>
        <w:t xml:space="preserve"> So we propose: </w:t>
      </w:r>
    </w:p>
    <w:p w14:paraId="1967D453" w14:textId="27F7865B" w:rsidR="00F14585" w:rsidRDefault="00F14585" w:rsidP="00F14585">
      <w:pPr>
        <w:ind w:left="1134" w:hanging="1134"/>
        <w:rPr>
          <w:b/>
        </w:rPr>
      </w:pPr>
      <w:r>
        <w:rPr>
          <w:b/>
        </w:rPr>
        <w:t xml:space="preserve">Proposal </w:t>
      </w:r>
      <w:r w:rsidR="007B72AF">
        <w:rPr>
          <w:b/>
        </w:rPr>
        <w:t>2</w:t>
      </w:r>
      <w:r>
        <w:rPr>
          <w:b/>
        </w:rPr>
        <w:t xml:space="preserve">: UE stops </w:t>
      </w:r>
      <w:r w:rsidR="00CD5591">
        <w:rPr>
          <w:b/>
        </w:rPr>
        <w:t xml:space="preserve">RLM, </w:t>
      </w:r>
      <w:r>
        <w:rPr>
          <w:b/>
        </w:rPr>
        <w:t xml:space="preserve">BFD and beam management when TA timer expires, and UE stops TA timer when </w:t>
      </w:r>
      <w:r w:rsidR="00CD5591">
        <w:rPr>
          <w:b/>
        </w:rPr>
        <w:t xml:space="preserve">RLM or </w:t>
      </w:r>
      <w:r>
        <w:rPr>
          <w:b/>
        </w:rPr>
        <w:t>BFD failure is declared.</w:t>
      </w:r>
    </w:p>
    <w:p w14:paraId="3F49333E" w14:textId="111CDEDF" w:rsidR="00F14585" w:rsidRDefault="002E2B69" w:rsidP="002E2B69">
      <w:r>
        <w:t xml:space="preserve">Follow legacy behaviour, the UE will release PUCCH and SRS resources upon TAT expires. In this case, network has to provide PUCCH and SRS resources to UE again when triggering SCG activation. So to avoid mismatch, network and UE should be aligned on when TA is running or expires.  </w:t>
      </w:r>
    </w:p>
    <w:p w14:paraId="0C271749" w14:textId="191FBD4B" w:rsidR="002E2B69" w:rsidRDefault="002E2B69" w:rsidP="002E2B69">
      <w:pPr>
        <w:ind w:left="1418" w:hanging="1418"/>
      </w:pPr>
      <w:r>
        <w:rPr>
          <w:b/>
        </w:rPr>
        <w:t xml:space="preserve">Observation 3: Network and UE should have the same understanding on whether TAT is running or </w:t>
      </w:r>
      <w:r w:rsidR="00141FED">
        <w:rPr>
          <w:b/>
        </w:rPr>
        <w:t>not</w:t>
      </w:r>
      <w:r>
        <w:rPr>
          <w:rFonts w:hint="eastAsia"/>
          <w:b/>
        </w:rPr>
        <w:t>.</w:t>
      </w:r>
    </w:p>
    <w:p w14:paraId="228D8275" w14:textId="7F7EECCA" w:rsidR="002E2B69" w:rsidRDefault="002E2B69" w:rsidP="002E2B69">
      <w:r>
        <w:t xml:space="preserve">Based on proposal 3, since UE may stop TA timer upon RLM or </w:t>
      </w:r>
      <w:r w:rsidR="009D4B0B">
        <w:t xml:space="preserve">BFD failure which is transparent to network, explicit notification is needed. For RLF, the legacy SCGFailureInformation can be reused. For BFD, since BFR is not preferred, the UE can also send failure notification to network, but the detailed signalling can be discussed later. </w:t>
      </w:r>
    </w:p>
    <w:p w14:paraId="031B1CC4" w14:textId="7B485A5E" w:rsidR="00711599" w:rsidRDefault="00711599" w:rsidP="00711599">
      <w:pPr>
        <w:ind w:left="1134" w:hanging="1134"/>
        <w:rPr>
          <w:b/>
        </w:rPr>
      </w:pPr>
      <w:r>
        <w:rPr>
          <w:b/>
        </w:rPr>
        <w:t xml:space="preserve">Proposal 3: </w:t>
      </w:r>
      <w:r w:rsidR="002E2B69">
        <w:rPr>
          <w:b/>
        </w:rPr>
        <w:t>When</w:t>
      </w:r>
      <w:r>
        <w:rPr>
          <w:b/>
        </w:rPr>
        <w:t xml:space="preserve"> RLF is declared while SCG is deactivated, UE transmits SCGFailureInformation to SN via MCG (follow legacy behaviour)</w:t>
      </w:r>
      <w:r>
        <w:rPr>
          <w:rFonts w:hint="eastAsia"/>
          <w:b/>
        </w:rPr>
        <w:t>.</w:t>
      </w:r>
    </w:p>
    <w:p w14:paraId="5EDD5026" w14:textId="0BED9C96" w:rsidR="00711599" w:rsidRDefault="00711599" w:rsidP="00711599">
      <w:pPr>
        <w:ind w:left="1134" w:hanging="1134"/>
        <w:rPr>
          <w:b/>
        </w:rPr>
      </w:pPr>
      <w:r>
        <w:rPr>
          <w:b/>
        </w:rPr>
        <w:t xml:space="preserve">Proposal 4: </w:t>
      </w:r>
      <w:r w:rsidR="002E2B69">
        <w:rPr>
          <w:b/>
        </w:rPr>
        <w:t>When</w:t>
      </w:r>
      <w:r>
        <w:rPr>
          <w:b/>
        </w:rPr>
        <w:t xml:space="preserve"> BFD failure is declared while SCG is deactivated, UE sends indication to SN via MCG (FFS on </w:t>
      </w:r>
      <w:r w:rsidR="002E2B69">
        <w:rPr>
          <w:b/>
        </w:rPr>
        <w:t>which message is used</w:t>
      </w:r>
      <w:r>
        <w:rPr>
          <w:b/>
        </w:rPr>
        <w:t>)</w:t>
      </w:r>
      <w:r>
        <w:rPr>
          <w:rFonts w:hint="eastAsia"/>
          <w:b/>
        </w:rPr>
        <w:t>.</w:t>
      </w:r>
    </w:p>
    <w:p w14:paraId="7B90F530" w14:textId="116BD648" w:rsidR="00711599" w:rsidRPr="006538F0" w:rsidRDefault="009D4B0B" w:rsidP="006538F0">
      <w:r>
        <w:t xml:space="preserve">On top of above proposals, </w:t>
      </w:r>
      <w:r w:rsidR="006538F0">
        <w:t>upon SCG activation, UE can omit RACH procedure at least when TA timer is running and RLM/BFD failure is not declared. However, from standard perspective, anyway, network has the right to ask UE to mandate perform RACH upon SCG activation (i.e. by including reconfigurationWithSync in SCG RRCReconfiguration). So:</w:t>
      </w:r>
    </w:p>
    <w:p w14:paraId="0347A457" w14:textId="25821CA0" w:rsidR="00F14585" w:rsidRDefault="00F14585" w:rsidP="00F14585">
      <w:pPr>
        <w:ind w:left="1134" w:hanging="1134"/>
        <w:rPr>
          <w:b/>
        </w:rPr>
      </w:pPr>
      <w:r>
        <w:rPr>
          <w:b/>
        </w:rPr>
        <w:t xml:space="preserve">Proposal </w:t>
      </w:r>
      <w:r w:rsidR="007B72AF">
        <w:rPr>
          <w:b/>
        </w:rPr>
        <w:t>5</w:t>
      </w:r>
      <w:r>
        <w:rPr>
          <w:b/>
        </w:rPr>
        <w:t>: Upon SCG activation, UE can omit RACH procedure when following conditions are met. If any one of them is not met, RACH procedure is required.</w:t>
      </w:r>
    </w:p>
    <w:p w14:paraId="6E78592C" w14:textId="4316ED06" w:rsidR="00F14585" w:rsidRDefault="00F14585" w:rsidP="00F14585">
      <w:pPr>
        <w:pStyle w:val="afffffff3"/>
        <w:numPr>
          <w:ilvl w:val="0"/>
          <w:numId w:val="35"/>
        </w:numPr>
        <w:rPr>
          <w:b/>
        </w:rPr>
      </w:pPr>
      <w:r>
        <w:rPr>
          <w:b/>
        </w:rPr>
        <w:t xml:space="preserve">Condition 1: TA timer </w:t>
      </w:r>
      <w:r w:rsidR="0086572D">
        <w:rPr>
          <w:b/>
        </w:rPr>
        <w:t>is running</w:t>
      </w:r>
      <w:r>
        <w:rPr>
          <w:b/>
        </w:rPr>
        <w:t>;</w:t>
      </w:r>
    </w:p>
    <w:p w14:paraId="6DEBF398" w14:textId="55EB7567" w:rsidR="009D4B0B" w:rsidRPr="009D4B0B" w:rsidRDefault="009D4B0B" w:rsidP="009D4B0B">
      <w:pPr>
        <w:pStyle w:val="afffffff3"/>
        <w:numPr>
          <w:ilvl w:val="0"/>
          <w:numId w:val="35"/>
        </w:numPr>
        <w:rPr>
          <w:b/>
        </w:rPr>
      </w:pPr>
      <w:r>
        <w:rPr>
          <w:b/>
        </w:rPr>
        <w:t>Condition 2: RL</w:t>
      </w:r>
      <w:r w:rsidR="001B1565">
        <w:rPr>
          <w:b/>
        </w:rPr>
        <w:t>F</w:t>
      </w:r>
      <w:r w:rsidR="003D4DFE">
        <w:rPr>
          <w:b/>
        </w:rPr>
        <w:t xml:space="preserve"> or </w:t>
      </w:r>
      <w:r>
        <w:rPr>
          <w:b/>
        </w:rPr>
        <w:t xml:space="preserve">BFD failure is not declared. </w:t>
      </w:r>
    </w:p>
    <w:p w14:paraId="5884E922" w14:textId="0BE17019" w:rsidR="0044158F" w:rsidRPr="00061447" w:rsidRDefault="00F14585" w:rsidP="00061447">
      <w:pPr>
        <w:pStyle w:val="afffffff3"/>
        <w:numPr>
          <w:ilvl w:val="0"/>
          <w:numId w:val="35"/>
        </w:numPr>
        <w:rPr>
          <w:b/>
        </w:rPr>
      </w:pPr>
      <w:r>
        <w:rPr>
          <w:b/>
        </w:rPr>
        <w:t xml:space="preserve">Condition </w:t>
      </w:r>
      <w:r w:rsidR="009D4B0B">
        <w:rPr>
          <w:b/>
        </w:rPr>
        <w:t>3</w:t>
      </w:r>
      <w:r>
        <w:rPr>
          <w:b/>
        </w:rPr>
        <w:t xml:space="preserve">: SCG reconfigurationWithSync is not included in SCG activation </w:t>
      </w:r>
      <w:r w:rsidR="0053515E">
        <w:rPr>
          <w:b/>
        </w:rPr>
        <w:t>message</w:t>
      </w:r>
      <w:r>
        <w:rPr>
          <w:b/>
        </w:rPr>
        <w:t>;</w:t>
      </w:r>
    </w:p>
    <w:p w14:paraId="45CAF34B" w14:textId="77777777" w:rsidR="007B72AF" w:rsidRDefault="007B72AF" w:rsidP="007B72AF">
      <w:pPr>
        <w:ind w:left="1134" w:hanging="1134"/>
      </w:pPr>
      <w:r>
        <w:lastRenderedPageBreak/>
        <w:t>Regarding the detail mechanism of DL beam management, two options can be considered:</w:t>
      </w:r>
    </w:p>
    <w:p w14:paraId="3D157557" w14:textId="09DB056E" w:rsidR="007B72AF" w:rsidRDefault="007B72AF" w:rsidP="007B72AF">
      <w:pPr>
        <w:pStyle w:val="afffffff3"/>
        <w:numPr>
          <w:ilvl w:val="0"/>
          <w:numId w:val="36"/>
        </w:numPr>
      </w:pPr>
      <w:r>
        <w:t>Option 1: UE performs beam management while SCG is deactivated, reporting can be sent to SN via MCG;</w:t>
      </w:r>
    </w:p>
    <w:p w14:paraId="28F8BC66" w14:textId="7C8DB625" w:rsidR="007B72AF" w:rsidRDefault="007B72AF" w:rsidP="007B72AF">
      <w:pPr>
        <w:pStyle w:val="afffffff3"/>
        <w:numPr>
          <w:ilvl w:val="0"/>
          <w:numId w:val="36"/>
        </w:numPr>
      </w:pPr>
      <w:r>
        <w:t>Option 2: Leave it to UE implementation. I.e. upon SCG activation, even if TAT is running, UE can decide whether RACH is needed based on DL beam monitoring;</w:t>
      </w:r>
    </w:p>
    <w:p w14:paraId="7F8054F4" w14:textId="50B4A299" w:rsidR="007B72AF" w:rsidRDefault="007B72AF" w:rsidP="007B72AF">
      <w:r>
        <w:t xml:space="preserve">The Option 1 is similar to legacy behaviour, but the measurement results will be sent to SN via MCG. The drawback of Option 1 is measurement results may be less useful due to transmission delay. While Option 2 provides more flexibility to UE side, and UE can decide whether RACH is required even if TAT is running. But the drawback of Option 2 is that network may not know the best DL </w:t>
      </w:r>
      <w:r w:rsidR="00F2573A">
        <w:t xml:space="preserve">beam timely due to no results will be received from UE. We suggest RAN2 to discuss and decide which way to go. </w:t>
      </w:r>
      <w:r>
        <w:t xml:space="preserve">   </w:t>
      </w:r>
    </w:p>
    <w:p w14:paraId="5560FF20" w14:textId="5384F630" w:rsidR="007B72AF" w:rsidRDefault="007B72AF" w:rsidP="007B72AF">
      <w:pPr>
        <w:ind w:left="1134" w:hanging="1134"/>
        <w:rPr>
          <w:b/>
        </w:rPr>
      </w:pPr>
      <w:r>
        <w:rPr>
          <w:b/>
        </w:rPr>
        <w:t xml:space="preserve">Proposal </w:t>
      </w:r>
      <w:r w:rsidR="00323A95">
        <w:rPr>
          <w:b/>
        </w:rPr>
        <w:t>6</w:t>
      </w:r>
      <w:r>
        <w:rPr>
          <w:b/>
        </w:rPr>
        <w:t>: Regarding DL beam management, to discuss the following options:</w:t>
      </w:r>
    </w:p>
    <w:p w14:paraId="05284D30" w14:textId="51391A15" w:rsidR="007B72AF" w:rsidRDefault="007B72AF" w:rsidP="007B72AF">
      <w:pPr>
        <w:pStyle w:val="afffffff3"/>
        <w:numPr>
          <w:ilvl w:val="0"/>
          <w:numId w:val="35"/>
        </w:numPr>
        <w:rPr>
          <w:b/>
        </w:rPr>
      </w:pPr>
      <w:r>
        <w:rPr>
          <w:b/>
        </w:rPr>
        <w:t xml:space="preserve">Option 1: UE performs beam management while SCG is deactivated, </w:t>
      </w:r>
      <w:r w:rsidR="002A190A">
        <w:rPr>
          <w:b/>
        </w:rPr>
        <w:t>results report</w:t>
      </w:r>
      <w:r>
        <w:rPr>
          <w:b/>
        </w:rPr>
        <w:t xml:space="preserve"> can be sent to SN via MCG;</w:t>
      </w:r>
    </w:p>
    <w:p w14:paraId="61FB76EF" w14:textId="70A74F4F" w:rsidR="007B72AF" w:rsidRPr="00F2573A" w:rsidRDefault="007B72AF" w:rsidP="00061447">
      <w:pPr>
        <w:pStyle w:val="afffffff3"/>
        <w:numPr>
          <w:ilvl w:val="0"/>
          <w:numId w:val="35"/>
        </w:numPr>
        <w:rPr>
          <w:b/>
        </w:rPr>
      </w:pPr>
      <w:r>
        <w:rPr>
          <w:b/>
        </w:rPr>
        <w:t>Option 2: Leave it to UE implementation. I.e. upon SCG activation, even if TAT is running, UE can decide whether RACH is needed based on DL beam monitoring;</w:t>
      </w:r>
    </w:p>
    <w:p w14:paraId="6F95522E" w14:textId="05BC5F0E" w:rsidR="00061447" w:rsidRPr="00061447" w:rsidRDefault="00F2573A" w:rsidP="00061447">
      <w:r>
        <w:t xml:space="preserve">Regarding CSI reporting, </w:t>
      </w:r>
      <w:r w:rsidR="00D10F64">
        <w:t xml:space="preserve">RAN1 is now discussing the temporary RS mechanism for fast SCell activation. In our understanding, the similar mechanism can also be applied for PSCell, </w:t>
      </w:r>
      <w:r w:rsidR="00061447">
        <w:t xml:space="preserve">so </w:t>
      </w:r>
      <w:r w:rsidR="00D10F64">
        <w:t xml:space="preserve">that </w:t>
      </w:r>
      <w:r w:rsidR="00061447">
        <w:t xml:space="preserve">network can enable </w:t>
      </w:r>
      <w:r w:rsidR="00D10F64">
        <w:t xml:space="preserve">temporary RS </w:t>
      </w:r>
      <w:r w:rsidR="00194210">
        <w:t>together</w:t>
      </w:r>
      <w:r w:rsidR="00061447">
        <w:t xml:space="preserve"> with SCG activation, then </w:t>
      </w:r>
      <w:r w:rsidR="00194210">
        <w:t xml:space="preserve">UE </w:t>
      </w:r>
      <w:r w:rsidR="00061447">
        <w:t>can</w:t>
      </w:r>
      <w:r w:rsidR="00194210">
        <w:t xml:space="preserve"> perform CSI-RS measurements </w:t>
      </w:r>
      <w:r w:rsidR="00061447">
        <w:t xml:space="preserve">quickly </w:t>
      </w:r>
      <w:r w:rsidR="00194210">
        <w:t>and transmit CSI report to the SN upon SCG activation.</w:t>
      </w:r>
      <w:r w:rsidR="00061447">
        <w:t xml:space="preserve"> </w:t>
      </w:r>
    </w:p>
    <w:p w14:paraId="276AC5A9" w14:textId="4DECC14F" w:rsidR="00E413A8" w:rsidRPr="00FF71C2" w:rsidRDefault="00B7001F" w:rsidP="00571CF2">
      <w:pPr>
        <w:ind w:left="1134" w:hanging="1134"/>
        <w:rPr>
          <w:b/>
        </w:rPr>
      </w:pPr>
      <w:r>
        <w:rPr>
          <w:b/>
        </w:rPr>
        <w:t xml:space="preserve">Proposal </w:t>
      </w:r>
      <w:r w:rsidR="00323A95">
        <w:rPr>
          <w:b/>
        </w:rPr>
        <w:t>7</w:t>
      </w:r>
      <w:r>
        <w:rPr>
          <w:b/>
        </w:rPr>
        <w:t xml:space="preserve">: UE does not perform CSI measurement and reporting </w:t>
      </w:r>
      <w:r w:rsidR="005F6035">
        <w:rPr>
          <w:b/>
        </w:rPr>
        <w:t>while</w:t>
      </w:r>
      <w:r>
        <w:rPr>
          <w:b/>
        </w:rPr>
        <w:t xml:space="preserve"> SCG is deactivated</w:t>
      </w:r>
      <w:r w:rsidR="008E0E13">
        <w:rPr>
          <w:b/>
        </w:rPr>
        <w:t xml:space="preserve">. </w:t>
      </w:r>
    </w:p>
    <w:p w14:paraId="0DA6C61C" w14:textId="2AA2B562" w:rsidR="00015639" w:rsidRDefault="00595599"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Consideration on RRM</w:t>
      </w:r>
    </w:p>
    <w:p w14:paraId="7E28EEB8" w14:textId="77777777" w:rsidR="005F7B42" w:rsidRDefault="005F7B42" w:rsidP="00595599">
      <w:r>
        <w:t xml:space="preserve">Regarding SN configured RRM measurement, RAN2 agreed UE needs to perform the measurement even when SCG is deactivated. And the SN measurement report can be delivered to </w:t>
      </w:r>
      <w:r>
        <w:rPr>
          <w:rFonts w:hint="eastAsia"/>
        </w:rPr>
        <w:t>network</w:t>
      </w:r>
      <w:r>
        <w:t xml:space="preserve"> (SN) via SRB1. However, RAN2 haven’t concluded whether network can indicate the UE to stop certain configured RRM measurements while SCG is deactivated. </w:t>
      </w:r>
    </w:p>
    <w:p w14:paraId="3F153995" w14:textId="73D4C01E" w:rsidR="00595599" w:rsidRDefault="005F7B42" w:rsidP="005F7B42">
      <w:r>
        <w:t xml:space="preserve">In general, SN may configure </w:t>
      </w:r>
      <w:r w:rsidR="00297D42">
        <w:t xml:space="preserve">RRM </w:t>
      </w:r>
      <w:r>
        <w:t xml:space="preserve">measurements for following </w:t>
      </w:r>
      <w:r w:rsidR="009828A4">
        <w:t>reasons</w:t>
      </w:r>
      <w:r>
        <w:t>:</w:t>
      </w:r>
    </w:p>
    <w:p w14:paraId="42A82F6F" w14:textId="14D687F4" w:rsidR="00841A0B" w:rsidRDefault="00841A0B" w:rsidP="005F7B42">
      <w:pPr>
        <w:pStyle w:val="afffffff3"/>
        <w:numPr>
          <w:ilvl w:val="0"/>
          <w:numId w:val="33"/>
        </w:numPr>
      </w:pPr>
      <w:r>
        <w:t>A2 event: used to monitor whether to release SN;</w:t>
      </w:r>
    </w:p>
    <w:p w14:paraId="0C8BA0B3" w14:textId="423B6E4E" w:rsidR="005F7B42" w:rsidRDefault="005F7B42" w:rsidP="005F7B42">
      <w:pPr>
        <w:pStyle w:val="afffffff3"/>
        <w:numPr>
          <w:ilvl w:val="0"/>
          <w:numId w:val="33"/>
        </w:numPr>
      </w:pPr>
      <w:r>
        <w:t>A1 or A2 eve</w:t>
      </w:r>
      <w:r w:rsidR="00841A0B">
        <w:t>nt</w:t>
      </w:r>
      <w:r>
        <w:t>: used to monitor whether to disable</w:t>
      </w:r>
      <w:r w:rsidR="00841A0B">
        <w:t xml:space="preserve"> or enable</w:t>
      </w:r>
      <w:r>
        <w:t xml:space="preserve"> inter-frequency measurements; </w:t>
      </w:r>
    </w:p>
    <w:p w14:paraId="3904C0DA" w14:textId="557B406D" w:rsidR="005F7B42" w:rsidRDefault="005F7B42" w:rsidP="005F7B42">
      <w:pPr>
        <w:pStyle w:val="afffffff3"/>
        <w:numPr>
          <w:ilvl w:val="0"/>
          <w:numId w:val="33"/>
        </w:numPr>
      </w:pPr>
      <w:r>
        <w:t>Intra-frequency PSCell mobility (e.g. A3/A5 events).</w:t>
      </w:r>
    </w:p>
    <w:p w14:paraId="0667300F" w14:textId="6DA1D096" w:rsidR="005F7B42" w:rsidRDefault="005F7B42" w:rsidP="005F7B42">
      <w:pPr>
        <w:pStyle w:val="afffffff3"/>
        <w:numPr>
          <w:ilvl w:val="0"/>
          <w:numId w:val="33"/>
        </w:numPr>
      </w:pPr>
      <w:r>
        <w:t>Inter-frequency PSCell mobility (e.g. A3/A5 events).</w:t>
      </w:r>
    </w:p>
    <w:p w14:paraId="6FF8DB5F" w14:textId="51574AC0" w:rsidR="005F7B42" w:rsidRDefault="009828A4" w:rsidP="005F7B42">
      <w:pPr>
        <w:pStyle w:val="afffffff3"/>
        <w:numPr>
          <w:ilvl w:val="0"/>
          <w:numId w:val="33"/>
        </w:numPr>
      </w:pPr>
      <w:r>
        <w:t>SCell add/release (e.g. A4, A2 events);</w:t>
      </w:r>
    </w:p>
    <w:p w14:paraId="1CDB8A95" w14:textId="5B8F5BF6" w:rsidR="009828A4" w:rsidRDefault="009828A4" w:rsidP="005F7B42">
      <w:pPr>
        <w:pStyle w:val="afffffff3"/>
        <w:numPr>
          <w:ilvl w:val="0"/>
          <w:numId w:val="33"/>
        </w:numPr>
      </w:pPr>
      <w:r>
        <w:t>SCell change (e.g. A6 event);</w:t>
      </w:r>
    </w:p>
    <w:p w14:paraId="0A3D80ED" w14:textId="6F5257C9" w:rsidR="005F7B42" w:rsidRDefault="009828A4" w:rsidP="00595599">
      <w:pPr>
        <w:pStyle w:val="afffffff3"/>
        <w:numPr>
          <w:ilvl w:val="0"/>
          <w:numId w:val="33"/>
        </w:numPr>
      </w:pPr>
      <w:r>
        <w:t>Load balancing (e.g. A4 event).</w:t>
      </w:r>
    </w:p>
    <w:p w14:paraId="44FE9D00" w14:textId="4F23416E" w:rsidR="009828A4" w:rsidRDefault="009828A4" w:rsidP="00595599">
      <w:pPr>
        <w:pStyle w:val="afffffff3"/>
        <w:numPr>
          <w:ilvl w:val="0"/>
          <w:numId w:val="33"/>
        </w:numPr>
      </w:pPr>
      <w:r>
        <w:t>CGI-reporting;</w:t>
      </w:r>
    </w:p>
    <w:p w14:paraId="1692078F" w14:textId="3BFCA9DD" w:rsidR="009828A4" w:rsidRDefault="009828A4" w:rsidP="00595599">
      <w:pPr>
        <w:pStyle w:val="afffffff3"/>
        <w:numPr>
          <w:ilvl w:val="0"/>
          <w:numId w:val="33"/>
        </w:numPr>
      </w:pPr>
      <w:r>
        <w:t xml:space="preserve">… </w:t>
      </w:r>
    </w:p>
    <w:p w14:paraId="0FC7D322" w14:textId="65CFBC86" w:rsidR="00595599" w:rsidRDefault="00841A0B" w:rsidP="00595599">
      <w:r>
        <w:t xml:space="preserve">When SCG is deactivated, it is desirable to reduce RRM measurements in order to save UE’s power. However, as listed above, to ensure UE maintains a valid SN cell group (including both PSCell and SCG SCells), at least 1~6 might be needed (if SCell is configured). While 7 and 8 </w:t>
      </w:r>
      <w:r w:rsidR="00297D42">
        <w:t xml:space="preserve">are not necessarily needed. </w:t>
      </w:r>
      <w:r>
        <w:t xml:space="preserve">  </w:t>
      </w:r>
    </w:p>
    <w:p w14:paraId="234EFA3A" w14:textId="489B0D1A" w:rsidR="00595599" w:rsidRDefault="005F7B42" w:rsidP="00595599">
      <w:pPr>
        <w:ind w:left="1418" w:hanging="1418"/>
      </w:pPr>
      <w:r>
        <w:rPr>
          <w:b/>
        </w:rPr>
        <w:lastRenderedPageBreak/>
        <w:t xml:space="preserve">Observation </w:t>
      </w:r>
      <w:r w:rsidR="00323A95">
        <w:rPr>
          <w:b/>
        </w:rPr>
        <w:t>4</w:t>
      </w:r>
      <w:r w:rsidR="00595599">
        <w:rPr>
          <w:b/>
        </w:rPr>
        <w:t>: In general, mobility based measurements (for both PSCell and SCG SCell) need to be performed when SCG is deactivated</w:t>
      </w:r>
      <w:r>
        <w:rPr>
          <w:b/>
        </w:rPr>
        <w:t xml:space="preserve">. Other measurements can be </w:t>
      </w:r>
      <w:r w:rsidR="00297D42">
        <w:rPr>
          <w:b/>
        </w:rPr>
        <w:t>stopped</w:t>
      </w:r>
      <w:r>
        <w:rPr>
          <w:b/>
        </w:rPr>
        <w:t xml:space="preserve"> for power saving</w:t>
      </w:r>
      <w:r w:rsidR="00595599">
        <w:rPr>
          <w:rFonts w:hint="eastAsia"/>
          <w:b/>
        </w:rPr>
        <w:t>.</w:t>
      </w:r>
    </w:p>
    <w:p w14:paraId="7FFB881A" w14:textId="5552ACA0" w:rsidR="00595599" w:rsidRDefault="00297D42" w:rsidP="00595599">
      <w:r>
        <w:t xml:space="preserve">However, from UE’s perspective, UE is unaware of the purpose of each configured measID. So it is impossible for UE to decide </w:t>
      </w:r>
      <w:r w:rsidR="006651F5">
        <w:t>the importance of each measurement</w:t>
      </w:r>
      <w:r w:rsidR="0058350C">
        <w:t xml:space="preserve"> during SCG deactivation </w:t>
      </w:r>
      <w:r w:rsidR="006651F5">
        <w:t xml:space="preserve">state, thus UE can only perform all configured SN RRM measurements. </w:t>
      </w:r>
      <w:r w:rsidR="0058350C">
        <w:t xml:space="preserve"> </w:t>
      </w:r>
    </w:p>
    <w:p w14:paraId="62497968" w14:textId="10212D62" w:rsidR="00C7699D" w:rsidRDefault="0058350C" w:rsidP="00595599">
      <w:r>
        <w:t>Based on the discussion last meeting, companies think if SCG (de)activation indication is sent via RRC signalling, it is feasible for network to release some measurements in SCG deactivation RRC signalling, and add them back in SCG activation RRC signalling. Strictly speaking, this</w:t>
      </w:r>
      <w:r w:rsidR="00DA5CA3">
        <w:t xml:space="preserve"> makes sense. </w:t>
      </w:r>
      <w:r w:rsidR="006651F5">
        <w:t xml:space="preserve">However, if RAN2 agree that lower layer signalling (e.g. MAC CE) can be used to indicate SCG (de)activation, then we need to consider </w:t>
      </w:r>
      <w:r w:rsidR="00DA5CA3">
        <w:t>further optimization of SN RRM measurements. For instance, allow network</w:t>
      </w:r>
      <w:r w:rsidR="00C7699D">
        <w:t xml:space="preserve"> (SN)</w:t>
      </w:r>
      <w:r w:rsidR="00DA5CA3">
        <w:t xml:space="preserve"> to pre</w:t>
      </w:r>
      <w:r w:rsidR="00C7699D">
        <w:t>-</w:t>
      </w:r>
      <w:r w:rsidR="00DA5CA3">
        <w:t>configure which</w:t>
      </w:r>
      <w:r w:rsidR="00C7699D">
        <w:t xml:space="preserve"> measID(</w:t>
      </w:r>
      <w:r w:rsidR="00DA5CA3">
        <w:t>s</w:t>
      </w:r>
      <w:r w:rsidR="00C7699D">
        <w:t>)</w:t>
      </w:r>
      <w:r w:rsidR="00DA5CA3">
        <w:t xml:space="preserve"> need to be suspended while SCG is deactivated.</w:t>
      </w:r>
      <w:r w:rsidR="00C7699D">
        <w:t xml:space="preserve"> </w:t>
      </w:r>
    </w:p>
    <w:p w14:paraId="07F4F82F" w14:textId="15521C0A" w:rsidR="002F366A" w:rsidRPr="00C7699D" w:rsidRDefault="002F366A" w:rsidP="002F366A">
      <w:pPr>
        <w:ind w:left="1134" w:hanging="1134"/>
        <w:rPr>
          <w:b/>
        </w:rPr>
      </w:pPr>
      <w:r>
        <w:rPr>
          <w:b/>
        </w:rPr>
        <w:t xml:space="preserve">Proposal </w:t>
      </w:r>
      <w:r w:rsidR="00323A95">
        <w:rPr>
          <w:b/>
        </w:rPr>
        <w:t>8</w:t>
      </w:r>
      <w:r>
        <w:rPr>
          <w:b/>
        </w:rPr>
        <w:t xml:space="preserve">: Optimization to SN configured RRM measurement is needed if </w:t>
      </w:r>
      <w:r w:rsidR="00FA2EE5">
        <w:rPr>
          <w:b/>
        </w:rPr>
        <w:t>RAN2 agrees to use</w:t>
      </w:r>
      <w:r w:rsidR="007B1886">
        <w:rPr>
          <w:b/>
        </w:rPr>
        <w:t xml:space="preserve"> </w:t>
      </w:r>
      <w:r>
        <w:rPr>
          <w:b/>
        </w:rPr>
        <w:t>lower layer signaling for SCG (de)activation</w:t>
      </w:r>
      <w:r>
        <w:rPr>
          <w:rFonts w:hint="eastAsia"/>
          <w:b/>
        </w:rPr>
        <w:t>.</w:t>
      </w:r>
    </w:p>
    <w:p w14:paraId="374AB540" w14:textId="2900669F" w:rsidR="00C7699D" w:rsidRDefault="00C414B0" w:rsidP="00595599">
      <w:r>
        <w:t xml:space="preserve">In addition, RAN2 had the following remaining issue:  </w:t>
      </w:r>
    </w:p>
    <w:p w14:paraId="30EDE45F" w14:textId="77777777" w:rsidR="00C414B0" w:rsidRPr="0021350C" w:rsidRDefault="00C414B0" w:rsidP="00C414B0">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6</w:t>
      </w:r>
      <w:r w:rsidRPr="0021350C">
        <w:rPr>
          <w:rFonts w:eastAsia="Times New Roman"/>
          <w:b/>
          <w:kern w:val="0"/>
          <w:szCs w:val="20"/>
          <w:lang w:val="en-GB" w:eastAsia="ja-JP"/>
        </w:rPr>
        <w:tab/>
        <w:t>Clarify the meaning of "the UE maintains DL sync while the SCG is deactivated" (e.g. whether that is a consequence of doing RRM measurements of the PSCell or something more is needed).</w:t>
      </w:r>
    </w:p>
    <w:p w14:paraId="36D119A9" w14:textId="34F1B32C" w:rsidR="00C414B0" w:rsidRDefault="00C414B0" w:rsidP="00595599">
      <w:r>
        <w:t xml:space="preserve">In </w:t>
      </w:r>
      <w:r w:rsidR="003102C7">
        <w:t>theory</w:t>
      </w:r>
      <w:r>
        <w:t xml:space="preserve">, the UE should always perform RRM measurement on PSCell, </w:t>
      </w:r>
      <w:r w:rsidR="003102C7">
        <w:t xml:space="preserve">in our understanding, such behaviour is sufficient for </w:t>
      </w:r>
      <w:r>
        <w:t>maintain</w:t>
      </w:r>
      <w:r w:rsidR="003102C7">
        <w:t>ing</w:t>
      </w:r>
      <w:r>
        <w:t xml:space="preserve"> the DL timing in SCG.</w:t>
      </w:r>
      <w:r w:rsidR="003102C7">
        <w:t xml:space="preserve"> So at least from RAN2 point of view, we see nothing more is needed. But on the other hand, whether UE can use large periodicity for PSCell measurement during SCG deactivation state, </w:t>
      </w:r>
      <w:r w:rsidR="007663A7">
        <w:t>can be further studied</w:t>
      </w:r>
      <w:r w:rsidR="003102C7">
        <w:t xml:space="preserve"> by RAN4.  </w:t>
      </w:r>
    </w:p>
    <w:p w14:paraId="0ED232A7" w14:textId="4ECF3A3A" w:rsidR="00C414B0" w:rsidRPr="00447A3F" w:rsidRDefault="00447A3F" w:rsidP="00447A3F">
      <w:pPr>
        <w:ind w:left="1134" w:hanging="1134"/>
        <w:rPr>
          <w:b/>
        </w:rPr>
      </w:pPr>
      <w:r>
        <w:rPr>
          <w:b/>
        </w:rPr>
        <w:t xml:space="preserve">Proposal </w:t>
      </w:r>
      <w:r w:rsidR="00323A95">
        <w:rPr>
          <w:b/>
        </w:rPr>
        <w:t>9</w:t>
      </w:r>
      <w:r>
        <w:rPr>
          <w:b/>
        </w:rPr>
        <w:t>: RAN2 understand UE maintains DL sync based on the RRM measurements of PSCell. The measurement period of PSCell measurement during SCG deactivation state is up to RAN4</w:t>
      </w:r>
      <w:r>
        <w:rPr>
          <w:rFonts w:hint="eastAsia"/>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0FEAD960" w14:textId="77777777" w:rsidR="00153109" w:rsidRDefault="00153109" w:rsidP="00153109">
      <w:pPr>
        <w:ind w:left="1418" w:hanging="1418"/>
        <w:rPr>
          <w:b/>
        </w:rPr>
      </w:pPr>
      <w:bookmarkStart w:id="2" w:name="_Toc535476034"/>
      <w:r>
        <w:rPr>
          <w:b/>
        </w:rPr>
        <w:t>Observation 1: If we aim to support RACH-less SCG activation, the UE should support performing beam monitoring (e.g. RLM, BFD, beam management) so that UE knows whether the serving beams are valid/usable upon SCG activation.</w:t>
      </w:r>
    </w:p>
    <w:p w14:paraId="41E2CC76" w14:textId="77777777" w:rsidR="00153109" w:rsidRDefault="00153109" w:rsidP="00153109">
      <w:pPr>
        <w:ind w:left="1418" w:hanging="1418"/>
      </w:pPr>
      <w:r>
        <w:rPr>
          <w:b/>
        </w:rPr>
        <w:t>Observation 2: Handling of TA, RLM, BFD and beam management upon SCG deactivation should be discussed and decided together</w:t>
      </w:r>
      <w:r>
        <w:rPr>
          <w:rFonts w:hint="eastAsia"/>
          <w:b/>
        </w:rPr>
        <w:t>.</w:t>
      </w:r>
    </w:p>
    <w:p w14:paraId="2E49DC33" w14:textId="029BBEDA" w:rsidR="00153109" w:rsidRDefault="00153109" w:rsidP="00153109">
      <w:pPr>
        <w:ind w:left="1418" w:hanging="1418"/>
      </w:pPr>
      <w:r>
        <w:rPr>
          <w:b/>
        </w:rPr>
        <w:t xml:space="preserve">Observation 3: Network and UE should have the same understanding on whether TAT is running or </w:t>
      </w:r>
      <w:r w:rsidR="00141FED">
        <w:rPr>
          <w:b/>
        </w:rPr>
        <w:t>not</w:t>
      </w:r>
      <w:bookmarkStart w:id="3" w:name="_GoBack"/>
      <w:bookmarkEnd w:id="3"/>
      <w:r>
        <w:rPr>
          <w:rFonts w:hint="eastAsia"/>
          <w:b/>
        </w:rPr>
        <w:t>.</w:t>
      </w:r>
    </w:p>
    <w:p w14:paraId="0FB31E6A" w14:textId="77777777" w:rsidR="00153109" w:rsidRDefault="00153109" w:rsidP="00153109">
      <w:pPr>
        <w:ind w:left="1418" w:hanging="1418"/>
      </w:pPr>
      <w:r>
        <w:rPr>
          <w:b/>
        </w:rPr>
        <w:t>Observation 4: In general, mobility based measurements (for both PSCell and SCG SCell) need to be performed when SCG is deactivated. Other measurements can be stopped for power saving</w:t>
      </w:r>
      <w:r>
        <w:rPr>
          <w:rFonts w:hint="eastAsia"/>
          <w:b/>
        </w:rPr>
        <w:t>.</w:t>
      </w:r>
    </w:p>
    <w:p w14:paraId="5E7955C7" w14:textId="77777777" w:rsidR="00153109" w:rsidRDefault="00153109" w:rsidP="00153109">
      <w:pPr>
        <w:ind w:left="1134" w:hanging="1134"/>
        <w:rPr>
          <w:b/>
        </w:rPr>
      </w:pPr>
      <w:r>
        <w:rPr>
          <w:b/>
        </w:rPr>
        <w:t xml:space="preserve">Proposal 1: UE keeps TA timer running when entering SCG deactivation. While SCG is deactivated </w:t>
      </w:r>
      <w:r>
        <w:rPr>
          <w:b/>
        </w:rPr>
        <w:lastRenderedPageBreak/>
        <w:t>and TAT is running, UE supports performing RLM, BFD and beam management.</w:t>
      </w:r>
    </w:p>
    <w:p w14:paraId="7B10C3AB" w14:textId="77777777" w:rsidR="00153109" w:rsidRDefault="00153109" w:rsidP="00153109">
      <w:pPr>
        <w:ind w:left="1134" w:hanging="1134"/>
        <w:rPr>
          <w:b/>
        </w:rPr>
      </w:pPr>
      <w:r>
        <w:rPr>
          <w:b/>
        </w:rPr>
        <w:t>Proposal 2: UE stops RLM, BFD and beam management when TA timer expires, and UE stops TA timer when RLM or BFD failure is declared.</w:t>
      </w:r>
    </w:p>
    <w:p w14:paraId="5837D75D" w14:textId="77777777" w:rsidR="00153109" w:rsidRDefault="00153109" w:rsidP="00153109">
      <w:pPr>
        <w:ind w:left="1134" w:hanging="1134"/>
        <w:rPr>
          <w:b/>
        </w:rPr>
      </w:pPr>
      <w:r>
        <w:rPr>
          <w:b/>
        </w:rPr>
        <w:t>Proposal 3: When RLF is declared while SCG is deactivated, UE transmits SCGFailureInformation to SN via MCG (follow legacy behaviour)</w:t>
      </w:r>
      <w:r>
        <w:rPr>
          <w:rFonts w:hint="eastAsia"/>
          <w:b/>
        </w:rPr>
        <w:t>.</w:t>
      </w:r>
    </w:p>
    <w:p w14:paraId="714DF901" w14:textId="77777777" w:rsidR="00153109" w:rsidRDefault="00153109" w:rsidP="00153109">
      <w:pPr>
        <w:ind w:left="1134" w:hanging="1134"/>
        <w:rPr>
          <w:b/>
        </w:rPr>
      </w:pPr>
      <w:r>
        <w:rPr>
          <w:b/>
        </w:rPr>
        <w:t>Proposal 4: When BFD failure is declared while SCG is deactivated, UE sends indication to SN via MCG (FFS on which message is used)</w:t>
      </w:r>
      <w:r>
        <w:rPr>
          <w:rFonts w:hint="eastAsia"/>
          <w:b/>
        </w:rPr>
        <w:t>.</w:t>
      </w:r>
    </w:p>
    <w:p w14:paraId="6E5DD416" w14:textId="77777777" w:rsidR="00153109" w:rsidRDefault="00153109" w:rsidP="00153109">
      <w:pPr>
        <w:ind w:left="1134" w:hanging="1134"/>
        <w:rPr>
          <w:b/>
        </w:rPr>
      </w:pPr>
      <w:r>
        <w:rPr>
          <w:b/>
        </w:rPr>
        <w:t>Proposal 5: Upon SCG activation, UE can omit RACH procedure when following conditions are met. If any one of them is not met, RACH procedure is required.</w:t>
      </w:r>
    </w:p>
    <w:p w14:paraId="209E34A0" w14:textId="1F351B06" w:rsidR="00153109" w:rsidRDefault="00153109" w:rsidP="00153109">
      <w:pPr>
        <w:pStyle w:val="afffffff3"/>
        <w:numPr>
          <w:ilvl w:val="0"/>
          <w:numId w:val="35"/>
        </w:numPr>
        <w:rPr>
          <w:b/>
        </w:rPr>
      </w:pPr>
      <w:r>
        <w:rPr>
          <w:b/>
        </w:rPr>
        <w:t xml:space="preserve">Condition 1: TA timer </w:t>
      </w:r>
      <w:r w:rsidR="00047122">
        <w:rPr>
          <w:b/>
        </w:rPr>
        <w:t>is running</w:t>
      </w:r>
      <w:r>
        <w:rPr>
          <w:b/>
        </w:rPr>
        <w:t>;</w:t>
      </w:r>
    </w:p>
    <w:p w14:paraId="70558F80" w14:textId="77777777" w:rsidR="00153109" w:rsidRPr="009D4B0B" w:rsidRDefault="00153109" w:rsidP="00153109">
      <w:pPr>
        <w:pStyle w:val="afffffff3"/>
        <w:numPr>
          <w:ilvl w:val="0"/>
          <w:numId w:val="35"/>
        </w:numPr>
        <w:rPr>
          <w:b/>
        </w:rPr>
      </w:pPr>
      <w:r>
        <w:rPr>
          <w:b/>
        </w:rPr>
        <w:t xml:space="preserve">Condition 2: RLF or BFD failure is not declared. </w:t>
      </w:r>
    </w:p>
    <w:p w14:paraId="1D6F163E" w14:textId="77777777" w:rsidR="00153109" w:rsidRPr="00061447" w:rsidRDefault="00153109" w:rsidP="00153109">
      <w:pPr>
        <w:pStyle w:val="afffffff3"/>
        <w:numPr>
          <w:ilvl w:val="0"/>
          <w:numId w:val="35"/>
        </w:numPr>
        <w:rPr>
          <w:b/>
        </w:rPr>
      </w:pPr>
      <w:r>
        <w:rPr>
          <w:b/>
        </w:rPr>
        <w:t>Condition 3: SCG reconfigurationWithSync is not included in SCG activation message;</w:t>
      </w:r>
    </w:p>
    <w:p w14:paraId="5F962799" w14:textId="4925B320" w:rsidR="00153109" w:rsidRDefault="00153109" w:rsidP="00153109">
      <w:pPr>
        <w:ind w:left="1134" w:hanging="1134"/>
        <w:rPr>
          <w:b/>
        </w:rPr>
      </w:pPr>
      <w:r>
        <w:rPr>
          <w:b/>
        </w:rPr>
        <w:t>Proposal 6: Regarding DL beam management, to discuss the following options:</w:t>
      </w:r>
    </w:p>
    <w:p w14:paraId="1E7A0AB3" w14:textId="01D13FB0" w:rsidR="00153109" w:rsidRDefault="00153109" w:rsidP="00153109">
      <w:pPr>
        <w:pStyle w:val="afffffff3"/>
        <w:numPr>
          <w:ilvl w:val="0"/>
          <w:numId w:val="35"/>
        </w:numPr>
        <w:rPr>
          <w:b/>
        </w:rPr>
      </w:pPr>
      <w:r>
        <w:rPr>
          <w:b/>
        </w:rPr>
        <w:t xml:space="preserve">Option 1: UE performs beam management while SCG is deactivated, </w:t>
      </w:r>
      <w:r w:rsidR="002A190A">
        <w:rPr>
          <w:b/>
        </w:rPr>
        <w:t>results report</w:t>
      </w:r>
      <w:r>
        <w:rPr>
          <w:b/>
        </w:rPr>
        <w:t xml:space="preserve"> can be sent to SN via MCG;</w:t>
      </w:r>
    </w:p>
    <w:p w14:paraId="4AF94101" w14:textId="77777777" w:rsidR="00153109" w:rsidRPr="00F2573A" w:rsidRDefault="00153109" w:rsidP="00153109">
      <w:pPr>
        <w:pStyle w:val="afffffff3"/>
        <w:numPr>
          <w:ilvl w:val="0"/>
          <w:numId w:val="35"/>
        </w:numPr>
        <w:rPr>
          <w:b/>
        </w:rPr>
      </w:pPr>
      <w:r>
        <w:rPr>
          <w:b/>
        </w:rPr>
        <w:t>Option 2: Leave it to UE implementation. I.e. upon SCG activation, even if TAT is running, UE can decide whether RACH is needed based on DL beam monitoring;</w:t>
      </w:r>
    </w:p>
    <w:p w14:paraId="3F8CD968" w14:textId="77777777" w:rsidR="00153109" w:rsidRPr="00FF71C2" w:rsidRDefault="00153109" w:rsidP="00153109">
      <w:pPr>
        <w:ind w:left="1134" w:hanging="1134"/>
        <w:rPr>
          <w:b/>
        </w:rPr>
      </w:pPr>
      <w:r>
        <w:rPr>
          <w:b/>
        </w:rPr>
        <w:t xml:space="preserve">Proposal 7: UE does not perform CSI measurement and reporting while SCG is deactivated. </w:t>
      </w:r>
    </w:p>
    <w:p w14:paraId="751D60AC" w14:textId="77777777" w:rsidR="00153109" w:rsidRPr="00C7699D" w:rsidRDefault="00153109" w:rsidP="00153109">
      <w:pPr>
        <w:ind w:left="1134" w:hanging="1134"/>
        <w:rPr>
          <w:b/>
        </w:rPr>
      </w:pPr>
      <w:r>
        <w:rPr>
          <w:b/>
        </w:rPr>
        <w:t>Proposal 8: Optimization to SN configured RRM measurement is needed if RAN2 agrees to use lower layer signaling for SCG (de)activation</w:t>
      </w:r>
      <w:r>
        <w:rPr>
          <w:rFonts w:hint="eastAsia"/>
          <w:b/>
        </w:rPr>
        <w:t>.</w:t>
      </w:r>
    </w:p>
    <w:p w14:paraId="7D973F6C" w14:textId="77777777" w:rsidR="00153109" w:rsidRPr="00447A3F" w:rsidRDefault="00153109" w:rsidP="00153109">
      <w:pPr>
        <w:ind w:left="1134" w:hanging="1134"/>
        <w:rPr>
          <w:b/>
        </w:rPr>
      </w:pPr>
      <w:r>
        <w:rPr>
          <w:b/>
        </w:rPr>
        <w:t>Proposal 9: RAN2 understand UE maintains DL sync based on the RRM measurements of PSCell. The measurement period of PSCell measurement during SCG deactivation state is up to RAN4</w:t>
      </w:r>
      <w:r>
        <w:rPr>
          <w:rFonts w:hint="eastAsia"/>
          <w:b/>
        </w:rPr>
        <w:t>.</w:t>
      </w:r>
    </w:p>
    <w:bookmarkEnd w:id="2"/>
    <w:p w14:paraId="45083B40" w14:textId="767E3A38" w:rsidR="00E84692" w:rsidRPr="00156072" w:rsidRDefault="00E84692" w:rsidP="00156072">
      <w:pPr>
        <w:spacing w:before="156"/>
      </w:pPr>
    </w:p>
    <w:sectPr w:rsidR="00E84692" w:rsidRPr="00156072" w:rsidSect="00DE2F3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356C3" w14:textId="77777777" w:rsidR="00D829CC" w:rsidRDefault="00D829CC">
      <w:pPr>
        <w:spacing w:after="0"/>
      </w:pPr>
      <w:r>
        <w:separator/>
      </w:r>
    </w:p>
  </w:endnote>
  <w:endnote w:type="continuationSeparator" w:id="0">
    <w:p w14:paraId="2C7AF5DD" w14:textId="77777777" w:rsidR="00D829CC" w:rsidRDefault="00D829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4D3182" w:rsidRDefault="004D3182">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4D3182" w:rsidRDefault="004D3182">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4D3182" w:rsidRDefault="004D3182">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4D3182" w:rsidRDefault="004D3182">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A9693" w14:textId="77777777" w:rsidR="00D829CC" w:rsidRDefault="00D829CC">
      <w:pPr>
        <w:spacing w:after="0"/>
      </w:pPr>
      <w:r>
        <w:separator/>
      </w:r>
    </w:p>
  </w:footnote>
  <w:footnote w:type="continuationSeparator" w:id="0">
    <w:p w14:paraId="6D0F8E95" w14:textId="77777777" w:rsidR="00D829CC" w:rsidRDefault="00D829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4D3182" w:rsidRDefault="004D3182">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4D3182" w:rsidRDefault="004D3182">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4D3182" w:rsidRDefault="004D3182">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3">
    <w:nsid w:val="034C30C0"/>
    <w:multiLevelType w:val="hybridMultilevel"/>
    <w:tmpl w:val="DD22E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0AFF043E"/>
    <w:multiLevelType w:val="hybridMultilevel"/>
    <w:tmpl w:val="A4A85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0E1B5AE9"/>
    <w:multiLevelType w:val="hybridMultilevel"/>
    <w:tmpl w:val="E5F0A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CE1FF1"/>
    <w:multiLevelType w:val="hybridMultilevel"/>
    <w:tmpl w:val="45AE80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67373F"/>
    <w:multiLevelType w:val="hybridMultilevel"/>
    <w:tmpl w:val="6E924A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870971"/>
    <w:multiLevelType w:val="hybridMultilevel"/>
    <w:tmpl w:val="E180AB92"/>
    <w:lvl w:ilvl="0" w:tplc="04090005">
      <w:start w:val="1"/>
      <w:numFmt w:val="bullet"/>
      <w:lvlText w:val=""/>
      <w:lvlJc w:val="left"/>
      <w:pPr>
        <w:ind w:left="2097" w:hanging="360"/>
      </w:pPr>
      <w:rPr>
        <w:rFonts w:ascii="Wingdings" w:hAnsi="Wingdings" w:hint="default"/>
      </w:rPr>
    </w:lvl>
    <w:lvl w:ilvl="1" w:tplc="04090003" w:tentative="1">
      <w:start w:val="1"/>
      <w:numFmt w:val="bullet"/>
      <w:lvlText w:val="o"/>
      <w:lvlJc w:val="left"/>
      <w:pPr>
        <w:ind w:left="2817" w:hanging="360"/>
      </w:pPr>
      <w:rPr>
        <w:rFonts w:ascii="Courier New" w:hAnsi="Courier New" w:cs="Courier New" w:hint="default"/>
      </w:rPr>
    </w:lvl>
    <w:lvl w:ilvl="2" w:tplc="04090005" w:tentative="1">
      <w:start w:val="1"/>
      <w:numFmt w:val="bullet"/>
      <w:lvlText w:val=""/>
      <w:lvlJc w:val="left"/>
      <w:pPr>
        <w:ind w:left="3537" w:hanging="360"/>
      </w:pPr>
      <w:rPr>
        <w:rFonts w:ascii="Wingdings" w:hAnsi="Wingdings" w:hint="default"/>
      </w:rPr>
    </w:lvl>
    <w:lvl w:ilvl="3" w:tplc="04090001" w:tentative="1">
      <w:start w:val="1"/>
      <w:numFmt w:val="bullet"/>
      <w:lvlText w:val=""/>
      <w:lvlJc w:val="left"/>
      <w:pPr>
        <w:ind w:left="4257" w:hanging="360"/>
      </w:pPr>
      <w:rPr>
        <w:rFonts w:ascii="Symbol" w:hAnsi="Symbol" w:hint="default"/>
      </w:rPr>
    </w:lvl>
    <w:lvl w:ilvl="4" w:tplc="04090003" w:tentative="1">
      <w:start w:val="1"/>
      <w:numFmt w:val="bullet"/>
      <w:lvlText w:val="o"/>
      <w:lvlJc w:val="left"/>
      <w:pPr>
        <w:ind w:left="4977" w:hanging="360"/>
      </w:pPr>
      <w:rPr>
        <w:rFonts w:ascii="Courier New" w:hAnsi="Courier New" w:cs="Courier New" w:hint="default"/>
      </w:rPr>
    </w:lvl>
    <w:lvl w:ilvl="5" w:tplc="04090005" w:tentative="1">
      <w:start w:val="1"/>
      <w:numFmt w:val="bullet"/>
      <w:lvlText w:val=""/>
      <w:lvlJc w:val="left"/>
      <w:pPr>
        <w:ind w:left="5697" w:hanging="360"/>
      </w:pPr>
      <w:rPr>
        <w:rFonts w:ascii="Wingdings" w:hAnsi="Wingdings" w:hint="default"/>
      </w:rPr>
    </w:lvl>
    <w:lvl w:ilvl="6" w:tplc="04090001" w:tentative="1">
      <w:start w:val="1"/>
      <w:numFmt w:val="bullet"/>
      <w:lvlText w:val=""/>
      <w:lvlJc w:val="left"/>
      <w:pPr>
        <w:ind w:left="6417" w:hanging="360"/>
      </w:pPr>
      <w:rPr>
        <w:rFonts w:ascii="Symbol" w:hAnsi="Symbol" w:hint="default"/>
      </w:rPr>
    </w:lvl>
    <w:lvl w:ilvl="7" w:tplc="04090003" w:tentative="1">
      <w:start w:val="1"/>
      <w:numFmt w:val="bullet"/>
      <w:lvlText w:val="o"/>
      <w:lvlJc w:val="left"/>
      <w:pPr>
        <w:ind w:left="7137" w:hanging="360"/>
      </w:pPr>
      <w:rPr>
        <w:rFonts w:ascii="Courier New" w:hAnsi="Courier New" w:cs="Courier New" w:hint="default"/>
      </w:rPr>
    </w:lvl>
    <w:lvl w:ilvl="8" w:tplc="04090005" w:tentative="1">
      <w:start w:val="1"/>
      <w:numFmt w:val="bullet"/>
      <w:lvlText w:val=""/>
      <w:lvlJc w:val="left"/>
      <w:pPr>
        <w:ind w:left="7857" w:hanging="360"/>
      </w:pPr>
      <w:rPr>
        <w:rFonts w:ascii="Wingdings" w:hAnsi="Wingdings" w:hint="default"/>
      </w:rPr>
    </w:lvl>
  </w:abstractNum>
  <w:abstractNum w:abstractNumId="14">
    <w:nsid w:val="1F0A7E37"/>
    <w:multiLevelType w:val="hybridMultilevel"/>
    <w:tmpl w:val="D23E4C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ADA36E7"/>
    <w:multiLevelType w:val="hybridMultilevel"/>
    <w:tmpl w:val="16727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98520D"/>
    <w:multiLevelType w:val="hybridMultilevel"/>
    <w:tmpl w:val="EAD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E47D7"/>
    <w:multiLevelType w:val="hybridMultilevel"/>
    <w:tmpl w:val="B3C064D6"/>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0">
    <w:nsid w:val="326B7766"/>
    <w:multiLevelType w:val="hybridMultilevel"/>
    <w:tmpl w:val="3884806C"/>
    <w:lvl w:ilvl="0" w:tplc="1F2AE56E">
      <w:numFmt w:val="bullet"/>
      <w:lvlText w:val="•"/>
      <w:lvlJc w:val="left"/>
      <w:pPr>
        <w:ind w:left="1500" w:hanging="114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1112A8"/>
    <w:multiLevelType w:val="hybridMultilevel"/>
    <w:tmpl w:val="E75C37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DF6D35"/>
    <w:multiLevelType w:val="hybridMultilevel"/>
    <w:tmpl w:val="C6C27964"/>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3">
    <w:nsid w:val="4A206653"/>
    <w:multiLevelType w:val="hybridMultilevel"/>
    <w:tmpl w:val="D21AD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nsid w:val="4E9C05E9"/>
    <w:multiLevelType w:val="hybridMultilevel"/>
    <w:tmpl w:val="F78A2FCE"/>
    <w:lvl w:ilvl="0" w:tplc="9B884C5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nsid w:val="5430724C"/>
    <w:multiLevelType w:val="hybridMultilevel"/>
    <w:tmpl w:val="3F0AC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C00E0E"/>
    <w:multiLevelType w:val="hybridMultilevel"/>
    <w:tmpl w:val="E64EF3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2B0ED3"/>
    <w:multiLevelType w:val="hybridMultilevel"/>
    <w:tmpl w:val="BAAA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622E4B25"/>
    <w:multiLevelType w:val="hybridMultilevel"/>
    <w:tmpl w:val="2B1E9A6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6"/>
  </w:num>
  <w:num w:numId="3">
    <w:abstractNumId w:val="36"/>
  </w:num>
  <w:num w:numId="4">
    <w:abstractNumId w:val="24"/>
  </w:num>
  <w:num w:numId="5">
    <w:abstractNumId w:val="5"/>
  </w:num>
  <w:num w:numId="6">
    <w:abstractNumId w:val="15"/>
  </w:num>
  <w:num w:numId="7">
    <w:abstractNumId w:val="6"/>
  </w:num>
  <w:num w:numId="8">
    <w:abstractNumId w:val="33"/>
  </w:num>
  <w:num w:numId="9">
    <w:abstractNumId w:val="17"/>
  </w:num>
  <w:num w:numId="10">
    <w:abstractNumId w:val="10"/>
  </w:num>
  <w:num w:numId="11">
    <w:abstractNumId w:val="0"/>
  </w:num>
  <w:num w:numId="12">
    <w:abstractNumId w:val="27"/>
  </w:num>
  <w:num w:numId="13">
    <w:abstractNumId w:val="8"/>
  </w:num>
  <w:num w:numId="14">
    <w:abstractNumId w:val="2"/>
  </w:num>
  <w:num w:numId="15">
    <w:abstractNumId w:val="4"/>
  </w:num>
  <w:num w:numId="16">
    <w:abstractNumId w:val="25"/>
  </w:num>
  <w:num w:numId="17">
    <w:abstractNumId w:val="34"/>
  </w:num>
  <w:num w:numId="18">
    <w:abstractNumId w:val="28"/>
  </w:num>
  <w:num w:numId="19">
    <w:abstractNumId w:val="18"/>
  </w:num>
  <w:num w:numId="20">
    <w:abstractNumId w:val="35"/>
  </w:num>
  <w:num w:numId="21">
    <w:abstractNumId w:val="3"/>
  </w:num>
  <w:num w:numId="22">
    <w:abstractNumId w:val="7"/>
  </w:num>
  <w:num w:numId="23">
    <w:abstractNumId w:val="29"/>
  </w:num>
  <w:num w:numId="24">
    <w:abstractNumId w:val="14"/>
  </w:num>
  <w:num w:numId="25">
    <w:abstractNumId w:val="11"/>
  </w:num>
  <w:num w:numId="26">
    <w:abstractNumId w:val="22"/>
  </w:num>
  <w:num w:numId="27">
    <w:abstractNumId w:val="12"/>
  </w:num>
  <w:num w:numId="28">
    <w:abstractNumId w:val="21"/>
  </w:num>
  <w:num w:numId="29">
    <w:abstractNumId w:val="13"/>
  </w:num>
  <w:num w:numId="30">
    <w:abstractNumId w:val="31"/>
  </w:num>
  <w:num w:numId="31">
    <w:abstractNumId w:val="30"/>
  </w:num>
  <w:num w:numId="32">
    <w:abstractNumId w:val="23"/>
  </w:num>
  <w:num w:numId="33">
    <w:abstractNumId w:val="16"/>
  </w:num>
  <w:num w:numId="34">
    <w:abstractNumId w:val="9"/>
  </w:num>
  <w:num w:numId="35">
    <w:abstractNumId w:val="19"/>
  </w:num>
  <w:num w:numId="36">
    <w:abstractNumId w:val="3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505B"/>
    <w:rsid w:val="000055B1"/>
    <w:rsid w:val="00006867"/>
    <w:rsid w:val="00007F63"/>
    <w:rsid w:val="000103E7"/>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A63"/>
    <w:rsid w:val="0004105F"/>
    <w:rsid w:val="0004184B"/>
    <w:rsid w:val="000424DB"/>
    <w:rsid w:val="00042E6F"/>
    <w:rsid w:val="00043923"/>
    <w:rsid w:val="00043934"/>
    <w:rsid w:val="000439F7"/>
    <w:rsid w:val="00044CC7"/>
    <w:rsid w:val="0004506E"/>
    <w:rsid w:val="00046160"/>
    <w:rsid w:val="00047122"/>
    <w:rsid w:val="00047CF7"/>
    <w:rsid w:val="00050DD9"/>
    <w:rsid w:val="0005129F"/>
    <w:rsid w:val="00051971"/>
    <w:rsid w:val="000563ED"/>
    <w:rsid w:val="00057DA8"/>
    <w:rsid w:val="00061447"/>
    <w:rsid w:val="00062DCF"/>
    <w:rsid w:val="0007093A"/>
    <w:rsid w:val="0007143C"/>
    <w:rsid w:val="0007205B"/>
    <w:rsid w:val="000720EB"/>
    <w:rsid w:val="0007392F"/>
    <w:rsid w:val="0007424D"/>
    <w:rsid w:val="000755A8"/>
    <w:rsid w:val="00075859"/>
    <w:rsid w:val="00075A4E"/>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5A4"/>
    <w:rsid w:val="0009278C"/>
    <w:rsid w:val="0009293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CCF"/>
    <w:rsid w:val="000C7FC7"/>
    <w:rsid w:val="000D18C5"/>
    <w:rsid w:val="000D1EF9"/>
    <w:rsid w:val="000D2BF9"/>
    <w:rsid w:val="000D370A"/>
    <w:rsid w:val="000D3944"/>
    <w:rsid w:val="000D40A5"/>
    <w:rsid w:val="000D59AA"/>
    <w:rsid w:val="000D60F5"/>
    <w:rsid w:val="000D722D"/>
    <w:rsid w:val="000E1125"/>
    <w:rsid w:val="000E1940"/>
    <w:rsid w:val="000E1993"/>
    <w:rsid w:val="000E3141"/>
    <w:rsid w:val="000E3B8A"/>
    <w:rsid w:val="000E4C9C"/>
    <w:rsid w:val="000E5EFE"/>
    <w:rsid w:val="000E6AE2"/>
    <w:rsid w:val="000E6F57"/>
    <w:rsid w:val="000F0A7B"/>
    <w:rsid w:val="000F3B7E"/>
    <w:rsid w:val="000F451B"/>
    <w:rsid w:val="000F589E"/>
    <w:rsid w:val="000F7D5B"/>
    <w:rsid w:val="00100030"/>
    <w:rsid w:val="00102686"/>
    <w:rsid w:val="0010484A"/>
    <w:rsid w:val="00104C1F"/>
    <w:rsid w:val="00106BB7"/>
    <w:rsid w:val="00111C96"/>
    <w:rsid w:val="00111CE0"/>
    <w:rsid w:val="00111DF0"/>
    <w:rsid w:val="001135C5"/>
    <w:rsid w:val="001147C0"/>
    <w:rsid w:val="00114AAE"/>
    <w:rsid w:val="001253A3"/>
    <w:rsid w:val="00126145"/>
    <w:rsid w:val="0012673B"/>
    <w:rsid w:val="001277F8"/>
    <w:rsid w:val="00131F75"/>
    <w:rsid w:val="0013288E"/>
    <w:rsid w:val="00134275"/>
    <w:rsid w:val="001349DF"/>
    <w:rsid w:val="00137B0E"/>
    <w:rsid w:val="00137D4E"/>
    <w:rsid w:val="001400A0"/>
    <w:rsid w:val="00140E7C"/>
    <w:rsid w:val="001413B6"/>
    <w:rsid w:val="00141835"/>
    <w:rsid w:val="00141FED"/>
    <w:rsid w:val="00144D47"/>
    <w:rsid w:val="00144E28"/>
    <w:rsid w:val="00145AFF"/>
    <w:rsid w:val="00147740"/>
    <w:rsid w:val="00150BAB"/>
    <w:rsid w:val="00151B91"/>
    <w:rsid w:val="00153109"/>
    <w:rsid w:val="00155054"/>
    <w:rsid w:val="00156072"/>
    <w:rsid w:val="0015657D"/>
    <w:rsid w:val="00160A40"/>
    <w:rsid w:val="00160DA4"/>
    <w:rsid w:val="001627D9"/>
    <w:rsid w:val="0016373F"/>
    <w:rsid w:val="00163C8F"/>
    <w:rsid w:val="00164CA7"/>
    <w:rsid w:val="00171FF9"/>
    <w:rsid w:val="0017245C"/>
    <w:rsid w:val="00172A27"/>
    <w:rsid w:val="00172AF8"/>
    <w:rsid w:val="00173A68"/>
    <w:rsid w:val="00175874"/>
    <w:rsid w:val="001767E6"/>
    <w:rsid w:val="00176AC2"/>
    <w:rsid w:val="00176DD7"/>
    <w:rsid w:val="001802FB"/>
    <w:rsid w:val="001806A8"/>
    <w:rsid w:val="00180939"/>
    <w:rsid w:val="00180983"/>
    <w:rsid w:val="00182A00"/>
    <w:rsid w:val="0018310D"/>
    <w:rsid w:val="00184214"/>
    <w:rsid w:val="00184452"/>
    <w:rsid w:val="00187FEF"/>
    <w:rsid w:val="00190A8D"/>
    <w:rsid w:val="001930BE"/>
    <w:rsid w:val="0019400F"/>
    <w:rsid w:val="00194210"/>
    <w:rsid w:val="0019547D"/>
    <w:rsid w:val="00195E1F"/>
    <w:rsid w:val="00196645"/>
    <w:rsid w:val="00197997"/>
    <w:rsid w:val="001A0C8F"/>
    <w:rsid w:val="001A36A8"/>
    <w:rsid w:val="001A36F7"/>
    <w:rsid w:val="001A384E"/>
    <w:rsid w:val="001A3C20"/>
    <w:rsid w:val="001A4015"/>
    <w:rsid w:val="001A6AFD"/>
    <w:rsid w:val="001A6EDC"/>
    <w:rsid w:val="001B1565"/>
    <w:rsid w:val="001B21A1"/>
    <w:rsid w:val="001B337C"/>
    <w:rsid w:val="001B5AE5"/>
    <w:rsid w:val="001B7027"/>
    <w:rsid w:val="001B7C67"/>
    <w:rsid w:val="001C0CED"/>
    <w:rsid w:val="001C1105"/>
    <w:rsid w:val="001C16DD"/>
    <w:rsid w:val="001C17C6"/>
    <w:rsid w:val="001C18D3"/>
    <w:rsid w:val="001C22DE"/>
    <w:rsid w:val="001C27C7"/>
    <w:rsid w:val="001C3C4C"/>
    <w:rsid w:val="001C6C19"/>
    <w:rsid w:val="001C7B80"/>
    <w:rsid w:val="001D2914"/>
    <w:rsid w:val="001D2FB0"/>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88D"/>
    <w:rsid w:val="00223B64"/>
    <w:rsid w:val="00224B70"/>
    <w:rsid w:val="002254D7"/>
    <w:rsid w:val="0023029F"/>
    <w:rsid w:val="00231281"/>
    <w:rsid w:val="00231DC2"/>
    <w:rsid w:val="002333B7"/>
    <w:rsid w:val="002344F2"/>
    <w:rsid w:val="002368E4"/>
    <w:rsid w:val="002414D9"/>
    <w:rsid w:val="00241832"/>
    <w:rsid w:val="0024359E"/>
    <w:rsid w:val="00243D2C"/>
    <w:rsid w:val="002449CA"/>
    <w:rsid w:val="00244D42"/>
    <w:rsid w:val="00245560"/>
    <w:rsid w:val="00246FFA"/>
    <w:rsid w:val="00247076"/>
    <w:rsid w:val="002529E1"/>
    <w:rsid w:val="00252B94"/>
    <w:rsid w:val="00255E19"/>
    <w:rsid w:val="002563B4"/>
    <w:rsid w:val="00256C2E"/>
    <w:rsid w:val="00257233"/>
    <w:rsid w:val="00260716"/>
    <w:rsid w:val="002607AA"/>
    <w:rsid w:val="0026193E"/>
    <w:rsid w:val="00261A9C"/>
    <w:rsid w:val="00262518"/>
    <w:rsid w:val="002628AF"/>
    <w:rsid w:val="00262C9D"/>
    <w:rsid w:val="00265433"/>
    <w:rsid w:val="0026731F"/>
    <w:rsid w:val="00270A1C"/>
    <w:rsid w:val="00271ED8"/>
    <w:rsid w:val="00271FEE"/>
    <w:rsid w:val="00272572"/>
    <w:rsid w:val="002730ED"/>
    <w:rsid w:val="0027451C"/>
    <w:rsid w:val="00275021"/>
    <w:rsid w:val="002754A9"/>
    <w:rsid w:val="00275BC1"/>
    <w:rsid w:val="0027635A"/>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B136A"/>
    <w:rsid w:val="002B1601"/>
    <w:rsid w:val="002B1638"/>
    <w:rsid w:val="002B24A3"/>
    <w:rsid w:val="002B2BBC"/>
    <w:rsid w:val="002B351B"/>
    <w:rsid w:val="002B3C48"/>
    <w:rsid w:val="002B434C"/>
    <w:rsid w:val="002B446A"/>
    <w:rsid w:val="002B4F1D"/>
    <w:rsid w:val="002B67DD"/>
    <w:rsid w:val="002B7014"/>
    <w:rsid w:val="002C0864"/>
    <w:rsid w:val="002C0F12"/>
    <w:rsid w:val="002C22F5"/>
    <w:rsid w:val="002C4649"/>
    <w:rsid w:val="002C5377"/>
    <w:rsid w:val="002C5F90"/>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E002E"/>
    <w:rsid w:val="002E28F9"/>
    <w:rsid w:val="002E2B69"/>
    <w:rsid w:val="002E361D"/>
    <w:rsid w:val="002E41F8"/>
    <w:rsid w:val="002E7525"/>
    <w:rsid w:val="002E7663"/>
    <w:rsid w:val="002E7C9E"/>
    <w:rsid w:val="002F01CA"/>
    <w:rsid w:val="002F05DB"/>
    <w:rsid w:val="002F1163"/>
    <w:rsid w:val="002F18C9"/>
    <w:rsid w:val="002F2D00"/>
    <w:rsid w:val="002F3161"/>
    <w:rsid w:val="002F366A"/>
    <w:rsid w:val="002F4528"/>
    <w:rsid w:val="002F50DB"/>
    <w:rsid w:val="002F5517"/>
    <w:rsid w:val="002F7B0E"/>
    <w:rsid w:val="00300F31"/>
    <w:rsid w:val="003024EA"/>
    <w:rsid w:val="00305287"/>
    <w:rsid w:val="00305358"/>
    <w:rsid w:val="00306369"/>
    <w:rsid w:val="003063B6"/>
    <w:rsid w:val="0030650B"/>
    <w:rsid w:val="003102C7"/>
    <w:rsid w:val="00310D27"/>
    <w:rsid w:val="00311826"/>
    <w:rsid w:val="00312C1A"/>
    <w:rsid w:val="00312DD1"/>
    <w:rsid w:val="003130FA"/>
    <w:rsid w:val="00313308"/>
    <w:rsid w:val="003144CA"/>
    <w:rsid w:val="003148F6"/>
    <w:rsid w:val="00314A30"/>
    <w:rsid w:val="003171FD"/>
    <w:rsid w:val="00317290"/>
    <w:rsid w:val="003177B1"/>
    <w:rsid w:val="00321077"/>
    <w:rsid w:val="00322EDB"/>
    <w:rsid w:val="0032304B"/>
    <w:rsid w:val="00323A95"/>
    <w:rsid w:val="003268BB"/>
    <w:rsid w:val="00330072"/>
    <w:rsid w:val="00330B4E"/>
    <w:rsid w:val="00330E73"/>
    <w:rsid w:val="0033176D"/>
    <w:rsid w:val="00333D6C"/>
    <w:rsid w:val="0033426F"/>
    <w:rsid w:val="00335B60"/>
    <w:rsid w:val="00335E3D"/>
    <w:rsid w:val="00336046"/>
    <w:rsid w:val="003402E6"/>
    <w:rsid w:val="00340AAF"/>
    <w:rsid w:val="003436BE"/>
    <w:rsid w:val="003449F6"/>
    <w:rsid w:val="00345FC0"/>
    <w:rsid w:val="003469FC"/>
    <w:rsid w:val="003472E7"/>
    <w:rsid w:val="00347800"/>
    <w:rsid w:val="00347B21"/>
    <w:rsid w:val="00347C14"/>
    <w:rsid w:val="003504B5"/>
    <w:rsid w:val="003546A6"/>
    <w:rsid w:val="00354915"/>
    <w:rsid w:val="00354E6F"/>
    <w:rsid w:val="00357465"/>
    <w:rsid w:val="003577BE"/>
    <w:rsid w:val="00357A3F"/>
    <w:rsid w:val="003601A9"/>
    <w:rsid w:val="00362FCF"/>
    <w:rsid w:val="00363B11"/>
    <w:rsid w:val="0036468F"/>
    <w:rsid w:val="00366993"/>
    <w:rsid w:val="0037079D"/>
    <w:rsid w:val="00370E0A"/>
    <w:rsid w:val="00371876"/>
    <w:rsid w:val="00371AC5"/>
    <w:rsid w:val="00371DAE"/>
    <w:rsid w:val="0037293C"/>
    <w:rsid w:val="00372C00"/>
    <w:rsid w:val="003758A3"/>
    <w:rsid w:val="003764F0"/>
    <w:rsid w:val="00376C20"/>
    <w:rsid w:val="00377A1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CD0"/>
    <w:rsid w:val="003B1164"/>
    <w:rsid w:val="003B132E"/>
    <w:rsid w:val="003B139B"/>
    <w:rsid w:val="003B1738"/>
    <w:rsid w:val="003B3A50"/>
    <w:rsid w:val="003B409D"/>
    <w:rsid w:val="003B448B"/>
    <w:rsid w:val="003B56A0"/>
    <w:rsid w:val="003B6027"/>
    <w:rsid w:val="003C23EC"/>
    <w:rsid w:val="003C3E62"/>
    <w:rsid w:val="003C4558"/>
    <w:rsid w:val="003D01E0"/>
    <w:rsid w:val="003D03EC"/>
    <w:rsid w:val="003D0EF8"/>
    <w:rsid w:val="003D1455"/>
    <w:rsid w:val="003D2163"/>
    <w:rsid w:val="003D2840"/>
    <w:rsid w:val="003D2B72"/>
    <w:rsid w:val="003D42C7"/>
    <w:rsid w:val="003D4964"/>
    <w:rsid w:val="003D4DFE"/>
    <w:rsid w:val="003D6201"/>
    <w:rsid w:val="003D7765"/>
    <w:rsid w:val="003E1518"/>
    <w:rsid w:val="003E3E67"/>
    <w:rsid w:val="003E42F6"/>
    <w:rsid w:val="003E48E7"/>
    <w:rsid w:val="003E6A00"/>
    <w:rsid w:val="003E7C95"/>
    <w:rsid w:val="003E7D68"/>
    <w:rsid w:val="003F0EA6"/>
    <w:rsid w:val="003F1437"/>
    <w:rsid w:val="003F16FC"/>
    <w:rsid w:val="003F1983"/>
    <w:rsid w:val="003F220A"/>
    <w:rsid w:val="003F2B9F"/>
    <w:rsid w:val="003F3790"/>
    <w:rsid w:val="003F448B"/>
    <w:rsid w:val="003F58F6"/>
    <w:rsid w:val="003F6316"/>
    <w:rsid w:val="00401149"/>
    <w:rsid w:val="00402720"/>
    <w:rsid w:val="00402985"/>
    <w:rsid w:val="00403BAA"/>
    <w:rsid w:val="00406593"/>
    <w:rsid w:val="004069B2"/>
    <w:rsid w:val="004102DA"/>
    <w:rsid w:val="00410408"/>
    <w:rsid w:val="00412192"/>
    <w:rsid w:val="00413229"/>
    <w:rsid w:val="00414305"/>
    <w:rsid w:val="00421BC3"/>
    <w:rsid w:val="004228A3"/>
    <w:rsid w:val="004229AC"/>
    <w:rsid w:val="00423D3B"/>
    <w:rsid w:val="00424172"/>
    <w:rsid w:val="004245A3"/>
    <w:rsid w:val="00424A48"/>
    <w:rsid w:val="004273E3"/>
    <w:rsid w:val="004274EC"/>
    <w:rsid w:val="00427917"/>
    <w:rsid w:val="0043216B"/>
    <w:rsid w:val="004346F3"/>
    <w:rsid w:val="00436238"/>
    <w:rsid w:val="00436F7D"/>
    <w:rsid w:val="0043711F"/>
    <w:rsid w:val="0044158F"/>
    <w:rsid w:val="00441EB5"/>
    <w:rsid w:val="004431CC"/>
    <w:rsid w:val="0044341B"/>
    <w:rsid w:val="00443D84"/>
    <w:rsid w:val="00444F7D"/>
    <w:rsid w:val="00445007"/>
    <w:rsid w:val="00446514"/>
    <w:rsid w:val="00446A9B"/>
    <w:rsid w:val="00446E8C"/>
    <w:rsid w:val="00446FED"/>
    <w:rsid w:val="00447A3F"/>
    <w:rsid w:val="0045201C"/>
    <w:rsid w:val="00452DD1"/>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767D"/>
    <w:rsid w:val="0049176F"/>
    <w:rsid w:val="00492EA5"/>
    <w:rsid w:val="004931C8"/>
    <w:rsid w:val="00493247"/>
    <w:rsid w:val="0049511A"/>
    <w:rsid w:val="004A0053"/>
    <w:rsid w:val="004A0BD2"/>
    <w:rsid w:val="004A2687"/>
    <w:rsid w:val="004A402F"/>
    <w:rsid w:val="004A6761"/>
    <w:rsid w:val="004A7A61"/>
    <w:rsid w:val="004B2B05"/>
    <w:rsid w:val="004B2BBA"/>
    <w:rsid w:val="004B3425"/>
    <w:rsid w:val="004B6B21"/>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570"/>
    <w:rsid w:val="005017DA"/>
    <w:rsid w:val="0050411A"/>
    <w:rsid w:val="0050472D"/>
    <w:rsid w:val="005049C1"/>
    <w:rsid w:val="00505C1E"/>
    <w:rsid w:val="0050619E"/>
    <w:rsid w:val="005069E2"/>
    <w:rsid w:val="00506B0D"/>
    <w:rsid w:val="00506BCB"/>
    <w:rsid w:val="00506DE6"/>
    <w:rsid w:val="00506E51"/>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2ED7"/>
    <w:rsid w:val="00545A76"/>
    <w:rsid w:val="005506C7"/>
    <w:rsid w:val="00550E39"/>
    <w:rsid w:val="005514AA"/>
    <w:rsid w:val="00552460"/>
    <w:rsid w:val="0055247D"/>
    <w:rsid w:val="0055434F"/>
    <w:rsid w:val="0055500E"/>
    <w:rsid w:val="005557B3"/>
    <w:rsid w:val="00555A68"/>
    <w:rsid w:val="0055689F"/>
    <w:rsid w:val="00556F21"/>
    <w:rsid w:val="005603EF"/>
    <w:rsid w:val="00561349"/>
    <w:rsid w:val="00562AA1"/>
    <w:rsid w:val="00562B8C"/>
    <w:rsid w:val="00562C69"/>
    <w:rsid w:val="00563198"/>
    <w:rsid w:val="00564098"/>
    <w:rsid w:val="0056474E"/>
    <w:rsid w:val="005657FC"/>
    <w:rsid w:val="00565F24"/>
    <w:rsid w:val="00567054"/>
    <w:rsid w:val="00567294"/>
    <w:rsid w:val="00567A9A"/>
    <w:rsid w:val="00570240"/>
    <w:rsid w:val="00570FEC"/>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5599"/>
    <w:rsid w:val="0059566C"/>
    <w:rsid w:val="00595711"/>
    <w:rsid w:val="0059585E"/>
    <w:rsid w:val="005A3156"/>
    <w:rsid w:val="005A53DF"/>
    <w:rsid w:val="005A6185"/>
    <w:rsid w:val="005B052E"/>
    <w:rsid w:val="005B0B2E"/>
    <w:rsid w:val="005B127E"/>
    <w:rsid w:val="005B1355"/>
    <w:rsid w:val="005B220B"/>
    <w:rsid w:val="005B2E19"/>
    <w:rsid w:val="005B66D2"/>
    <w:rsid w:val="005B7842"/>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80C"/>
    <w:rsid w:val="005D7833"/>
    <w:rsid w:val="005E06D3"/>
    <w:rsid w:val="005E27C0"/>
    <w:rsid w:val="005E4F1C"/>
    <w:rsid w:val="005F097D"/>
    <w:rsid w:val="005F1004"/>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300C"/>
    <w:rsid w:val="00603239"/>
    <w:rsid w:val="0060473D"/>
    <w:rsid w:val="006053DC"/>
    <w:rsid w:val="00605AF2"/>
    <w:rsid w:val="00607A61"/>
    <w:rsid w:val="006127D4"/>
    <w:rsid w:val="00614547"/>
    <w:rsid w:val="00614D4B"/>
    <w:rsid w:val="00616171"/>
    <w:rsid w:val="00616DFB"/>
    <w:rsid w:val="00617630"/>
    <w:rsid w:val="00617B27"/>
    <w:rsid w:val="00620346"/>
    <w:rsid w:val="0062074A"/>
    <w:rsid w:val="00622516"/>
    <w:rsid w:val="00622C68"/>
    <w:rsid w:val="00623125"/>
    <w:rsid w:val="0062321A"/>
    <w:rsid w:val="006241EE"/>
    <w:rsid w:val="00624D75"/>
    <w:rsid w:val="00625C8F"/>
    <w:rsid w:val="00627ACD"/>
    <w:rsid w:val="00630383"/>
    <w:rsid w:val="00630B29"/>
    <w:rsid w:val="006316B3"/>
    <w:rsid w:val="00631F99"/>
    <w:rsid w:val="00633DA7"/>
    <w:rsid w:val="00634F89"/>
    <w:rsid w:val="006357BD"/>
    <w:rsid w:val="006358DF"/>
    <w:rsid w:val="00637E61"/>
    <w:rsid w:val="006408DC"/>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737C"/>
    <w:rsid w:val="00670351"/>
    <w:rsid w:val="006706AA"/>
    <w:rsid w:val="006718B7"/>
    <w:rsid w:val="00672632"/>
    <w:rsid w:val="00673154"/>
    <w:rsid w:val="00673A1F"/>
    <w:rsid w:val="006746B2"/>
    <w:rsid w:val="0067540D"/>
    <w:rsid w:val="00675BE4"/>
    <w:rsid w:val="00676653"/>
    <w:rsid w:val="00676B15"/>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C200E"/>
    <w:rsid w:val="006C2D21"/>
    <w:rsid w:val="006C60A2"/>
    <w:rsid w:val="006C6193"/>
    <w:rsid w:val="006C6DC4"/>
    <w:rsid w:val="006C7CC7"/>
    <w:rsid w:val="006D2426"/>
    <w:rsid w:val="006D3223"/>
    <w:rsid w:val="006D397C"/>
    <w:rsid w:val="006D4BBE"/>
    <w:rsid w:val="006D5430"/>
    <w:rsid w:val="006D63EF"/>
    <w:rsid w:val="006D71AC"/>
    <w:rsid w:val="006D7BBB"/>
    <w:rsid w:val="006D7CA8"/>
    <w:rsid w:val="006E1EE7"/>
    <w:rsid w:val="006E2FE4"/>
    <w:rsid w:val="006E36C6"/>
    <w:rsid w:val="006E3B73"/>
    <w:rsid w:val="006E4CAF"/>
    <w:rsid w:val="006E7570"/>
    <w:rsid w:val="006F064B"/>
    <w:rsid w:val="006F064F"/>
    <w:rsid w:val="006F12E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70393B"/>
    <w:rsid w:val="00704BC7"/>
    <w:rsid w:val="007051AF"/>
    <w:rsid w:val="00705C15"/>
    <w:rsid w:val="00705E84"/>
    <w:rsid w:val="00705FA1"/>
    <w:rsid w:val="00707E83"/>
    <w:rsid w:val="007102B3"/>
    <w:rsid w:val="00711599"/>
    <w:rsid w:val="007116B3"/>
    <w:rsid w:val="0071183D"/>
    <w:rsid w:val="00711E45"/>
    <w:rsid w:val="00711F8D"/>
    <w:rsid w:val="00713731"/>
    <w:rsid w:val="007165BE"/>
    <w:rsid w:val="007200FA"/>
    <w:rsid w:val="00721635"/>
    <w:rsid w:val="0072283C"/>
    <w:rsid w:val="00723530"/>
    <w:rsid w:val="007258A0"/>
    <w:rsid w:val="00725CC4"/>
    <w:rsid w:val="007266BE"/>
    <w:rsid w:val="00726958"/>
    <w:rsid w:val="00727D4D"/>
    <w:rsid w:val="00731322"/>
    <w:rsid w:val="00731E30"/>
    <w:rsid w:val="0073217A"/>
    <w:rsid w:val="00736CDD"/>
    <w:rsid w:val="00736FEF"/>
    <w:rsid w:val="00737516"/>
    <w:rsid w:val="00741230"/>
    <w:rsid w:val="00741381"/>
    <w:rsid w:val="0074310F"/>
    <w:rsid w:val="00743261"/>
    <w:rsid w:val="0074502E"/>
    <w:rsid w:val="00745C1D"/>
    <w:rsid w:val="007476C9"/>
    <w:rsid w:val="00750FBE"/>
    <w:rsid w:val="007517AB"/>
    <w:rsid w:val="007517C3"/>
    <w:rsid w:val="00751F23"/>
    <w:rsid w:val="007559F6"/>
    <w:rsid w:val="007566B3"/>
    <w:rsid w:val="007573D2"/>
    <w:rsid w:val="007577AC"/>
    <w:rsid w:val="00757C74"/>
    <w:rsid w:val="00760036"/>
    <w:rsid w:val="00760C49"/>
    <w:rsid w:val="00761117"/>
    <w:rsid w:val="007621D5"/>
    <w:rsid w:val="007626A2"/>
    <w:rsid w:val="007651F0"/>
    <w:rsid w:val="00765D32"/>
    <w:rsid w:val="007663A7"/>
    <w:rsid w:val="007705A1"/>
    <w:rsid w:val="00770F43"/>
    <w:rsid w:val="00771468"/>
    <w:rsid w:val="007719AC"/>
    <w:rsid w:val="0077202D"/>
    <w:rsid w:val="00772393"/>
    <w:rsid w:val="00773686"/>
    <w:rsid w:val="00776AD0"/>
    <w:rsid w:val="00782F79"/>
    <w:rsid w:val="007832D8"/>
    <w:rsid w:val="007866A9"/>
    <w:rsid w:val="00787A57"/>
    <w:rsid w:val="00787B7D"/>
    <w:rsid w:val="00790647"/>
    <w:rsid w:val="00792D48"/>
    <w:rsid w:val="00793203"/>
    <w:rsid w:val="00794A1E"/>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E38"/>
    <w:rsid w:val="007D2587"/>
    <w:rsid w:val="007D2DC4"/>
    <w:rsid w:val="007D34C8"/>
    <w:rsid w:val="007D36F2"/>
    <w:rsid w:val="007D41FE"/>
    <w:rsid w:val="007D5A25"/>
    <w:rsid w:val="007E0E51"/>
    <w:rsid w:val="007E0F24"/>
    <w:rsid w:val="007E17B1"/>
    <w:rsid w:val="007E242F"/>
    <w:rsid w:val="007E27C0"/>
    <w:rsid w:val="007E3C82"/>
    <w:rsid w:val="007E4716"/>
    <w:rsid w:val="007E6E32"/>
    <w:rsid w:val="007E7487"/>
    <w:rsid w:val="007E771D"/>
    <w:rsid w:val="007F1C7B"/>
    <w:rsid w:val="007F3DA7"/>
    <w:rsid w:val="007F4203"/>
    <w:rsid w:val="007F4290"/>
    <w:rsid w:val="007F502E"/>
    <w:rsid w:val="007F65F6"/>
    <w:rsid w:val="007F6A42"/>
    <w:rsid w:val="007F6C34"/>
    <w:rsid w:val="007F7A9A"/>
    <w:rsid w:val="008013CA"/>
    <w:rsid w:val="00801995"/>
    <w:rsid w:val="00802812"/>
    <w:rsid w:val="00802E86"/>
    <w:rsid w:val="00804E2C"/>
    <w:rsid w:val="008056CF"/>
    <w:rsid w:val="00806C7C"/>
    <w:rsid w:val="00806E35"/>
    <w:rsid w:val="0080728E"/>
    <w:rsid w:val="00810BA0"/>
    <w:rsid w:val="00811CC1"/>
    <w:rsid w:val="00811DC7"/>
    <w:rsid w:val="00812EF1"/>
    <w:rsid w:val="00814945"/>
    <w:rsid w:val="00814985"/>
    <w:rsid w:val="008155A0"/>
    <w:rsid w:val="008160BF"/>
    <w:rsid w:val="00816F96"/>
    <w:rsid w:val="008175D4"/>
    <w:rsid w:val="008223C4"/>
    <w:rsid w:val="00822C19"/>
    <w:rsid w:val="00823AF8"/>
    <w:rsid w:val="0082692A"/>
    <w:rsid w:val="00830500"/>
    <w:rsid w:val="00832ADC"/>
    <w:rsid w:val="008343F2"/>
    <w:rsid w:val="00835293"/>
    <w:rsid w:val="00835356"/>
    <w:rsid w:val="00836941"/>
    <w:rsid w:val="00836D5A"/>
    <w:rsid w:val="0083795A"/>
    <w:rsid w:val="00837C9F"/>
    <w:rsid w:val="00841A0B"/>
    <w:rsid w:val="00843379"/>
    <w:rsid w:val="008436F0"/>
    <w:rsid w:val="00843DAA"/>
    <w:rsid w:val="00843F40"/>
    <w:rsid w:val="00845019"/>
    <w:rsid w:val="008505B6"/>
    <w:rsid w:val="00850AD1"/>
    <w:rsid w:val="00851A3E"/>
    <w:rsid w:val="00852259"/>
    <w:rsid w:val="008529ED"/>
    <w:rsid w:val="00853419"/>
    <w:rsid w:val="00853E87"/>
    <w:rsid w:val="00855CBD"/>
    <w:rsid w:val="0085666A"/>
    <w:rsid w:val="00856F99"/>
    <w:rsid w:val="00857625"/>
    <w:rsid w:val="00857E3C"/>
    <w:rsid w:val="00860FE6"/>
    <w:rsid w:val="00863405"/>
    <w:rsid w:val="008636BD"/>
    <w:rsid w:val="00864683"/>
    <w:rsid w:val="00864D17"/>
    <w:rsid w:val="0086572D"/>
    <w:rsid w:val="008719DB"/>
    <w:rsid w:val="00872250"/>
    <w:rsid w:val="008731B8"/>
    <w:rsid w:val="0087381D"/>
    <w:rsid w:val="00873D16"/>
    <w:rsid w:val="00875049"/>
    <w:rsid w:val="00875CB9"/>
    <w:rsid w:val="00875F0E"/>
    <w:rsid w:val="0087752A"/>
    <w:rsid w:val="00880F6C"/>
    <w:rsid w:val="008855E2"/>
    <w:rsid w:val="00885AAD"/>
    <w:rsid w:val="00886521"/>
    <w:rsid w:val="00886648"/>
    <w:rsid w:val="00887886"/>
    <w:rsid w:val="008936F1"/>
    <w:rsid w:val="008937A3"/>
    <w:rsid w:val="008943A1"/>
    <w:rsid w:val="00894705"/>
    <w:rsid w:val="0089509A"/>
    <w:rsid w:val="00895C60"/>
    <w:rsid w:val="008A196C"/>
    <w:rsid w:val="008A1E93"/>
    <w:rsid w:val="008A2A33"/>
    <w:rsid w:val="008A3451"/>
    <w:rsid w:val="008A4FE1"/>
    <w:rsid w:val="008A5E28"/>
    <w:rsid w:val="008A64DE"/>
    <w:rsid w:val="008B3CA8"/>
    <w:rsid w:val="008B4198"/>
    <w:rsid w:val="008B4609"/>
    <w:rsid w:val="008B50B6"/>
    <w:rsid w:val="008B667A"/>
    <w:rsid w:val="008B725C"/>
    <w:rsid w:val="008B7AD9"/>
    <w:rsid w:val="008C1D6D"/>
    <w:rsid w:val="008C2136"/>
    <w:rsid w:val="008C2184"/>
    <w:rsid w:val="008C2218"/>
    <w:rsid w:val="008C3A8E"/>
    <w:rsid w:val="008C3C8F"/>
    <w:rsid w:val="008C3F98"/>
    <w:rsid w:val="008C52C2"/>
    <w:rsid w:val="008C7752"/>
    <w:rsid w:val="008D1DAC"/>
    <w:rsid w:val="008D23AF"/>
    <w:rsid w:val="008D32BF"/>
    <w:rsid w:val="008D3A05"/>
    <w:rsid w:val="008D5390"/>
    <w:rsid w:val="008D681A"/>
    <w:rsid w:val="008D6B1A"/>
    <w:rsid w:val="008D6D38"/>
    <w:rsid w:val="008D7383"/>
    <w:rsid w:val="008D789C"/>
    <w:rsid w:val="008E0617"/>
    <w:rsid w:val="008E0C64"/>
    <w:rsid w:val="008E0E13"/>
    <w:rsid w:val="008E1801"/>
    <w:rsid w:val="008E4B64"/>
    <w:rsid w:val="008E5313"/>
    <w:rsid w:val="008E5B71"/>
    <w:rsid w:val="008E646E"/>
    <w:rsid w:val="008E705E"/>
    <w:rsid w:val="008F046B"/>
    <w:rsid w:val="008F0C94"/>
    <w:rsid w:val="008F183C"/>
    <w:rsid w:val="008F229E"/>
    <w:rsid w:val="008F2453"/>
    <w:rsid w:val="008F252E"/>
    <w:rsid w:val="008F34E9"/>
    <w:rsid w:val="00901D0C"/>
    <w:rsid w:val="00902740"/>
    <w:rsid w:val="00902833"/>
    <w:rsid w:val="00902C4E"/>
    <w:rsid w:val="009032D6"/>
    <w:rsid w:val="009039E2"/>
    <w:rsid w:val="00905D5B"/>
    <w:rsid w:val="00906BB5"/>
    <w:rsid w:val="0091196A"/>
    <w:rsid w:val="00911DC9"/>
    <w:rsid w:val="009123FF"/>
    <w:rsid w:val="00912D8F"/>
    <w:rsid w:val="009153E4"/>
    <w:rsid w:val="009158E1"/>
    <w:rsid w:val="009164CD"/>
    <w:rsid w:val="00917271"/>
    <w:rsid w:val="00922A9F"/>
    <w:rsid w:val="00923EDA"/>
    <w:rsid w:val="00925478"/>
    <w:rsid w:val="009256F4"/>
    <w:rsid w:val="009259D8"/>
    <w:rsid w:val="00925A8F"/>
    <w:rsid w:val="00925D8E"/>
    <w:rsid w:val="009269F5"/>
    <w:rsid w:val="00930CAD"/>
    <w:rsid w:val="00931BE7"/>
    <w:rsid w:val="00932517"/>
    <w:rsid w:val="00932E90"/>
    <w:rsid w:val="0093324D"/>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43F2"/>
    <w:rsid w:val="0098534B"/>
    <w:rsid w:val="009859C2"/>
    <w:rsid w:val="00985DB7"/>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B59"/>
    <w:rsid w:val="009A1CA8"/>
    <w:rsid w:val="009A2CA9"/>
    <w:rsid w:val="009A3428"/>
    <w:rsid w:val="009A5082"/>
    <w:rsid w:val="009A618E"/>
    <w:rsid w:val="009B11B9"/>
    <w:rsid w:val="009B155B"/>
    <w:rsid w:val="009B183F"/>
    <w:rsid w:val="009B1F5B"/>
    <w:rsid w:val="009B3BA9"/>
    <w:rsid w:val="009B3DB8"/>
    <w:rsid w:val="009B4769"/>
    <w:rsid w:val="009B7BA5"/>
    <w:rsid w:val="009C0634"/>
    <w:rsid w:val="009C2086"/>
    <w:rsid w:val="009C3006"/>
    <w:rsid w:val="009D159F"/>
    <w:rsid w:val="009D1912"/>
    <w:rsid w:val="009D1A92"/>
    <w:rsid w:val="009D2A16"/>
    <w:rsid w:val="009D344B"/>
    <w:rsid w:val="009D36A1"/>
    <w:rsid w:val="009D421C"/>
    <w:rsid w:val="009D4B0B"/>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732F"/>
    <w:rsid w:val="00A4192F"/>
    <w:rsid w:val="00A421DA"/>
    <w:rsid w:val="00A43646"/>
    <w:rsid w:val="00A43FAA"/>
    <w:rsid w:val="00A44BE1"/>
    <w:rsid w:val="00A4500D"/>
    <w:rsid w:val="00A473D6"/>
    <w:rsid w:val="00A512D7"/>
    <w:rsid w:val="00A51EEE"/>
    <w:rsid w:val="00A5246C"/>
    <w:rsid w:val="00A542B8"/>
    <w:rsid w:val="00A54719"/>
    <w:rsid w:val="00A602F2"/>
    <w:rsid w:val="00A60995"/>
    <w:rsid w:val="00A612B9"/>
    <w:rsid w:val="00A63594"/>
    <w:rsid w:val="00A66B14"/>
    <w:rsid w:val="00A66CF8"/>
    <w:rsid w:val="00A67424"/>
    <w:rsid w:val="00A67AB7"/>
    <w:rsid w:val="00A7038C"/>
    <w:rsid w:val="00A70A9A"/>
    <w:rsid w:val="00A727DA"/>
    <w:rsid w:val="00A7305E"/>
    <w:rsid w:val="00A7488B"/>
    <w:rsid w:val="00A7493E"/>
    <w:rsid w:val="00A74F48"/>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315A"/>
    <w:rsid w:val="00AC34C5"/>
    <w:rsid w:val="00AC4276"/>
    <w:rsid w:val="00AC464D"/>
    <w:rsid w:val="00AC485F"/>
    <w:rsid w:val="00AC4C8F"/>
    <w:rsid w:val="00AC503E"/>
    <w:rsid w:val="00AC51E8"/>
    <w:rsid w:val="00AC60CF"/>
    <w:rsid w:val="00AC60FB"/>
    <w:rsid w:val="00AD021E"/>
    <w:rsid w:val="00AD048E"/>
    <w:rsid w:val="00AD0CA9"/>
    <w:rsid w:val="00AD1427"/>
    <w:rsid w:val="00AD16D6"/>
    <w:rsid w:val="00AD2407"/>
    <w:rsid w:val="00AD265B"/>
    <w:rsid w:val="00AD48D4"/>
    <w:rsid w:val="00AD4DB6"/>
    <w:rsid w:val="00AD62D8"/>
    <w:rsid w:val="00AD6E05"/>
    <w:rsid w:val="00AE017E"/>
    <w:rsid w:val="00AE49C2"/>
    <w:rsid w:val="00AE5146"/>
    <w:rsid w:val="00AE55C5"/>
    <w:rsid w:val="00AE5A4F"/>
    <w:rsid w:val="00AE7B16"/>
    <w:rsid w:val="00AF0B65"/>
    <w:rsid w:val="00AF0F18"/>
    <w:rsid w:val="00AF3DDA"/>
    <w:rsid w:val="00AF4348"/>
    <w:rsid w:val="00AF7EEF"/>
    <w:rsid w:val="00B002E0"/>
    <w:rsid w:val="00B0053F"/>
    <w:rsid w:val="00B0132A"/>
    <w:rsid w:val="00B029C1"/>
    <w:rsid w:val="00B042F9"/>
    <w:rsid w:val="00B07968"/>
    <w:rsid w:val="00B07B19"/>
    <w:rsid w:val="00B10FBA"/>
    <w:rsid w:val="00B12666"/>
    <w:rsid w:val="00B126DA"/>
    <w:rsid w:val="00B13C29"/>
    <w:rsid w:val="00B14DB6"/>
    <w:rsid w:val="00B15903"/>
    <w:rsid w:val="00B166C8"/>
    <w:rsid w:val="00B230AB"/>
    <w:rsid w:val="00B23604"/>
    <w:rsid w:val="00B236B2"/>
    <w:rsid w:val="00B2566A"/>
    <w:rsid w:val="00B25F7F"/>
    <w:rsid w:val="00B26E87"/>
    <w:rsid w:val="00B30A4F"/>
    <w:rsid w:val="00B30EB8"/>
    <w:rsid w:val="00B3226F"/>
    <w:rsid w:val="00B32EDD"/>
    <w:rsid w:val="00B35581"/>
    <w:rsid w:val="00B36AFB"/>
    <w:rsid w:val="00B41694"/>
    <w:rsid w:val="00B425D5"/>
    <w:rsid w:val="00B427B9"/>
    <w:rsid w:val="00B42928"/>
    <w:rsid w:val="00B43371"/>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001F"/>
    <w:rsid w:val="00B71448"/>
    <w:rsid w:val="00B7196F"/>
    <w:rsid w:val="00B7260C"/>
    <w:rsid w:val="00B737EC"/>
    <w:rsid w:val="00B82234"/>
    <w:rsid w:val="00B8283E"/>
    <w:rsid w:val="00B837AA"/>
    <w:rsid w:val="00B848C7"/>
    <w:rsid w:val="00B86E93"/>
    <w:rsid w:val="00B86EF4"/>
    <w:rsid w:val="00B87D03"/>
    <w:rsid w:val="00B909E8"/>
    <w:rsid w:val="00B90B37"/>
    <w:rsid w:val="00B91063"/>
    <w:rsid w:val="00B9232C"/>
    <w:rsid w:val="00B928EE"/>
    <w:rsid w:val="00B92AD5"/>
    <w:rsid w:val="00B93E17"/>
    <w:rsid w:val="00B94BA4"/>
    <w:rsid w:val="00B96B25"/>
    <w:rsid w:val="00B976E2"/>
    <w:rsid w:val="00B97DB5"/>
    <w:rsid w:val="00BA0E02"/>
    <w:rsid w:val="00BA2032"/>
    <w:rsid w:val="00BA2F68"/>
    <w:rsid w:val="00BA3806"/>
    <w:rsid w:val="00BA4762"/>
    <w:rsid w:val="00BA7751"/>
    <w:rsid w:val="00BB156E"/>
    <w:rsid w:val="00BB1734"/>
    <w:rsid w:val="00BB1C6A"/>
    <w:rsid w:val="00BB2186"/>
    <w:rsid w:val="00BB3ABA"/>
    <w:rsid w:val="00BB4FEC"/>
    <w:rsid w:val="00BB5D2F"/>
    <w:rsid w:val="00BB65B1"/>
    <w:rsid w:val="00BB69D5"/>
    <w:rsid w:val="00BB73DF"/>
    <w:rsid w:val="00BC03E1"/>
    <w:rsid w:val="00BC2983"/>
    <w:rsid w:val="00BC3757"/>
    <w:rsid w:val="00BC4593"/>
    <w:rsid w:val="00BC5961"/>
    <w:rsid w:val="00BC73DA"/>
    <w:rsid w:val="00BD05BF"/>
    <w:rsid w:val="00BD464A"/>
    <w:rsid w:val="00BD639A"/>
    <w:rsid w:val="00BD6401"/>
    <w:rsid w:val="00BD6CFB"/>
    <w:rsid w:val="00BE0CBB"/>
    <w:rsid w:val="00BE174A"/>
    <w:rsid w:val="00BE1E03"/>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2868"/>
    <w:rsid w:val="00C04F9C"/>
    <w:rsid w:val="00C07BA6"/>
    <w:rsid w:val="00C11D21"/>
    <w:rsid w:val="00C11EFC"/>
    <w:rsid w:val="00C1675F"/>
    <w:rsid w:val="00C16C29"/>
    <w:rsid w:val="00C21F2D"/>
    <w:rsid w:val="00C22DD1"/>
    <w:rsid w:val="00C23438"/>
    <w:rsid w:val="00C23439"/>
    <w:rsid w:val="00C24202"/>
    <w:rsid w:val="00C24BB6"/>
    <w:rsid w:val="00C25F81"/>
    <w:rsid w:val="00C27213"/>
    <w:rsid w:val="00C278C2"/>
    <w:rsid w:val="00C31A8C"/>
    <w:rsid w:val="00C32425"/>
    <w:rsid w:val="00C32653"/>
    <w:rsid w:val="00C33DEA"/>
    <w:rsid w:val="00C34B78"/>
    <w:rsid w:val="00C34DBE"/>
    <w:rsid w:val="00C353D0"/>
    <w:rsid w:val="00C35AE1"/>
    <w:rsid w:val="00C35BD5"/>
    <w:rsid w:val="00C37C3F"/>
    <w:rsid w:val="00C40D1E"/>
    <w:rsid w:val="00C413AB"/>
    <w:rsid w:val="00C414B0"/>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55E71"/>
    <w:rsid w:val="00C621A1"/>
    <w:rsid w:val="00C630B7"/>
    <w:rsid w:val="00C63153"/>
    <w:rsid w:val="00C63CB8"/>
    <w:rsid w:val="00C65327"/>
    <w:rsid w:val="00C65838"/>
    <w:rsid w:val="00C6673E"/>
    <w:rsid w:val="00C668EE"/>
    <w:rsid w:val="00C67382"/>
    <w:rsid w:val="00C72471"/>
    <w:rsid w:val="00C747C1"/>
    <w:rsid w:val="00C750CF"/>
    <w:rsid w:val="00C7699D"/>
    <w:rsid w:val="00C76D61"/>
    <w:rsid w:val="00C8086B"/>
    <w:rsid w:val="00C82D97"/>
    <w:rsid w:val="00C84D14"/>
    <w:rsid w:val="00C91D0C"/>
    <w:rsid w:val="00C9369C"/>
    <w:rsid w:val="00C93EDD"/>
    <w:rsid w:val="00C95333"/>
    <w:rsid w:val="00C953EF"/>
    <w:rsid w:val="00C953F6"/>
    <w:rsid w:val="00CA0363"/>
    <w:rsid w:val="00CA06A4"/>
    <w:rsid w:val="00CA1C28"/>
    <w:rsid w:val="00CA1C2C"/>
    <w:rsid w:val="00CA3672"/>
    <w:rsid w:val="00CA485B"/>
    <w:rsid w:val="00CA501F"/>
    <w:rsid w:val="00CA59FA"/>
    <w:rsid w:val="00CA61CF"/>
    <w:rsid w:val="00CB0B17"/>
    <w:rsid w:val="00CB1749"/>
    <w:rsid w:val="00CB1870"/>
    <w:rsid w:val="00CB20D6"/>
    <w:rsid w:val="00CB27C2"/>
    <w:rsid w:val="00CB2A74"/>
    <w:rsid w:val="00CB32DD"/>
    <w:rsid w:val="00CB3A9F"/>
    <w:rsid w:val="00CB5048"/>
    <w:rsid w:val="00CB69E4"/>
    <w:rsid w:val="00CC10DA"/>
    <w:rsid w:val="00CC79C0"/>
    <w:rsid w:val="00CC7AEA"/>
    <w:rsid w:val="00CD1094"/>
    <w:rsid w:val="00CD1B67"/>
    <w:rsid w:val="00CD229F"/>
    <w:rsid w:val="00CD362D"/>
    <w:rsid w:val="00CD5591"/>
    <w:rsid w:val="00CE0BE0"/>
    <w:rsid w:val="00CE2D1F"/>
    <w:rsid w:val="00CE31E0"/>
    <w:rsid w:val="00CE444E"/>
    <w:rsid w:val="00CE52F0"/>
    <w:rsid w:val="00CE6F1A"/>
    <w:rsid w:val="00CF18A3"/>
    <w:rsid w:val="00CF356A"/>
    <w:rsid w:val="00CF3DA6"/>
    <w:rsid w:val="00CF4A61"/>
    <w:rsid w:val="00CF6809"/>
    <w:rsid w:val="00D003E1"/>
    <w:rsid w:val="00D01778"/>
    <w:rsid w:val="00D01A38"/>
    <w:rsid w:val="00D029CB"/>
    <w:rsid w:val="00D04274"/>
    <w:rsid w:val="00D05A8B"/>
    <w:rsid w:val="00D06659"/>
    <w:rsid w:val="00D0699D"/>
    <w:rsid w:val="00D10513"/>
    <w:rsid w:val="00D10F64"/>
    <w:rsid w:val="00D122E3"/>
    <w:rsid w:val="00D1447E"/>
    <w:rsid w:val="00D15666"/>
    <w:rsid w:val="00D164B7"/>
    <w:rsid w:val="00D17475"/>
    <w:rsid w:val="00D1747A"/>
    <w:rsid w:val="00D17C7A"/>
    <w:rsid w:val="00D205D0"/>
    <w:rsid w:val="00D20778"/>
    <w:rsid w:val="00D21306"/>
    <w:rsid w:val="00D2151A"/>
    <w:rsid w:val="00D22151"/>
    <w:rsid w:val="00D22AF0"/>
    <w:rsid w:val="00D259AA"/>
    <w:rsid w:val="00D25CA2"/>
    <w:rsid w:val="00D26BCB"/>
    <w:rsid w:val="00D275C6"/>
    <w:rsid w:val="00D27639"/>
    <w:rsid w:val="00D3438E"/>
    <w:rsid w:val="00D34772"/>
    <w:rsid w:val="00D34E8C"/>
    <w:rsid w:val="00D37938"/>
    <w:rsid w:val="00D40E89"/>
    <w:rsid w:val="00D41A51"/>
    <w:rsid w:val="00D42DFD"/>
    <w:rsid w:val="00D4588F"/>
    <w:rsid w:val="00D45BB6"/>
    <w:rsid w:val="00D45C6A"/>
    <w:rsid w:val="00D45E14"/>
    <w:rsid w:val="00D4755C"/>
    <w:rsid w:val="00D47707"/>
    <w:rsid w:val="00D5084A"/>
    <w:rsid w:val="00D5277A"/>
    <w:rsid w:val="00D52834"/>
    <w:rsid w:val="00D544FE"/>
    <w:rsid w:val="00D5505A"/>
    <w:rsid w:val="00D5596F"/>
    <w:rsid w:val="00D56F3F"/>
    <w:rsid w:val="00D57160"/>
    <w:rsid w:val="00D57733"/>
    <w:rsid w:val="00D601F1"/>
    <w:rsid w:val="00D61F13"/>
    <w:rsid w:val="00D63563"/>
    <w:rsid w:val="00D650A7"/>
    <w:rsid w:val="00D65513"/>
    <w:rsid w:val="00D672D6"/>
    <w:rsid w:val="00D67D4A"/>
    <w:rsid w:val="00D7096D"/>
    <w:rsid w:val="00D70B9D"/>
    <w:rsid w:val="00D72B46"/>
    <w:rsid w:val="00D72F7B"/>
    <w:rsid w:val="00D7506A"/>
    <w:rsid w:val="00D75BD9"/>
    <w:rsid w:val="00D75D2E"/>
    <w:rsid w:val="00D766D5"/>
    <w:rsid w:val="00D806A3"/>
    <w:rsid w:val="00D81232"/>
    <w:rsid w:val="00D81BAC"/>
    <w:rsid w:val="00D829CC"/>
    <w:rsid w:val="00D83149"/>
    <w:rsid w:val="00D83173"/>
    <w:rsid w:val="00D8380A"/>
    <w:rsid w:val="00D85273"/>
    <w:rsid w:val="00D85B96"/>
    <w:rsid w:val="00D90CC5"/>
    <w:rsid w:val="00D92C6A"/>
    <w:rsid w:val="00D93DC2"/>
    <w:rsid w:val="00D9573B"/>
    <w:rsid w:val="00D963A6"/>
    <w:rsid w:val="00DA12AB"/>
    <w:rsid w:val="00DA1C49"/>
    <w:rsid w:val="00DA1F90"/>
    <w:rsid w:val="00DA5CA3"/>
    <w:rsid w:val="00DA6E0F"/>
    <w:rsid w:val="00DB3689"/>
    <w:rsid w:val="00DB3767"/>
    <w:rsid w:val="00DB39E0"/>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E1B4A"/>
    <w:rsid w:val="00DE2611"/>
    <w:rsid w:val="00DE2CFF"/>
    <w:rsid w:val="00DE2F3B"/>
    <w:rsid w:val="00DE3330"/>
    <w:rsid w:val="00DE5939"/>
    <w:rsid w:val="00DE7746"/>
    <w:rsid w:val="00DE7AA4"/>
    <w:rsid w:val="00DF11E4"/>
    <w:rsid w:val="00DF1C50"/>
    <w:rsid w:val="00DF4490"/>
    <w:rsid w:val="00DF4CBC"/>
    <w:rsid w:val="00DF5370"/>
    <w:rsid w:val="00DF6D73"/>
    <w:rsid w:val="00E002A2"/>
    <w:rsid w:val="00E0032E"/>
    <w:rsid w:val="00E004AF"/>
    <w:rsid w:val="00E0205D"/>
    <w:rsid w:val="00E02761"/>
    <w:rsid w:val="00E02BE9"/>
    <w:rsid w:val="00E034DA"/>
    <w:rsid w:val="00E03C46"/>
    <w:rsid w:val="00E06796"/>
    <w:rsid w:val="00E06DE8"/>
    <w:rsid w:val="00E1018A"/>
    <w:rsid w:val="00E10707"/>
    <w:rsid w:val="00E11639"/>
    <w:rsid w:val="00E120F4"/>
    <w:rsid w:val="00E14000"/>
    <w:rsid w:val="00E14F52"/>
    <w:rsid w:val="00E153F6"/>
    <w:rsid w:val="00E15F7E"/>
    <w:rsid w:val="00E173DF"/>
    <w:rsid w:val="00E17824"/>
    <w:rsid w:val="00E2038E"/>
    <w:rsid w:val="00E22546"/>
    <w:rsid w:val="00E22B2E"/>
    <w:rsid w:val="00E252F3"/>
    <w:rsid w:val="00E269FD"/>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13A8"/>
    <w:rsid w:val="00E42C98"/>
    <w:rsid w:val="00E43798"/>
    <w:rsid w:val="00E43842"/>
    <w:rsid w:val="00E43CF8"/>
    <w:rsid w:val="00E468CA"/>
    <w:rsid w:val="00E51EE1"/>
    <w:rsid w:val="00E521EE"/>
    <w:rsid w:val="00E52BF5"/>
    <w:rsid w:val="00E53C4D"/>
    <w:rsid w:val="00E55E2E"/>
    <w:rsid w:val="00E61F55"/>
    <w:rsid w:val="00E62790"/>
    <w:rsid w:val="00E62B3D"/>
    <w:rsid w:val="00E6315A"/>
    <w:rsid w:val="00E64C50"/>
    <w:rsid w:val="00E65E86"/>
    <w:rsid w:val="00E6663D"/>
    <w:rsid w:val="00E6717A"/>
    <w:rsid w:val="00E67367"/>
    <w:rsid w:val="00E71B00"/>
    <w:rsid w:val="00E733FF"/>
    <w:rsid w:val="00E73C7F"/>
    <w:rsid w:val="00E740D9"/>
    <w:rsid w:val="00E766B3"/>
    <w:rsid w:val="00E76862"/>
    <w:rsid w:val="00E8224F"/>
    <w:rsid w:val="00E82FDC"/>
    <w:rsid w:val="00E83BFC"/>
    <w:rsid w:val="00E84692"/>
    <w:rsid w:val="00E853FB"/>
    <w:rsid w:val="00E85E3C"/>
    <w:rsid w:val="00E87574"/>
    <w:rsid w:val="00E943EE"/>
    <w:rsid w:val="00E94A9D"/>
    <w:rsid w:val="00E955A1"/>
    <w:rsid w:val="00E96534"/>
    <w:rsid w:val="00E9760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A49"/>
    <w:rsid w:val="00EC0950"/>
    <w:rsid w:val="00EC1D1E"/>
    <w:rsid w:val="00EC1D63"/>
    <w:rsid w:val="00EC22DE"/>
    <w:rsid w:val="00EC3A1D"/>
    <w:rsid w:val="00EC465B"/>
    <w:rsid w:val="00EC5A04"/>
    <w:rsid w:val="00EC5B82"/>
    <w:rsid w:val="00EC5F4D"/>
    <w:rsid w:val="00EC7980"/>
    <w:rsid w:val="00EC7D8F"/>
    <w:rsid w:val="00EC7E1A"/>
    <w:rsid w:val="00ED09F7"/>
    <w:rsid w:val="00ED0F55"/>
    <w:rsid w:val="00ED4EE0"/>
    <w:rsid w:val="00ED5032"/>
    <w:rsid w:val="00ED5270"/>
    <w:rsid w:val="00ED6649"/>
    <w:rsid w:val="00ED720A"/>
    <w:rsid w:val="00ED7856"/>
    <w:rsid w:val="00ED792B"/>
    <w:rsid w:val="00ED7DC2"/>
    <w:rsid w:val="00EE04F3"/>
    <w:rsid w:val="00EE1CF8"/>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FA1"/>
    <w:rsid w:val="00F01293"/>
    <w:rsid w:val="00F012FF"/>
    <w:rsid w:val="00F015E3"/>
    <w:rsid w:val="00F01A21"/>
    <w:rsid w:val="00F046E9"/>
    <w:rsid w:val="00F04831"/>
    <w:rsid w:val="00F04C0E"/>
    <w:rsid w:val="00F06E0E"/>
    <w:rsid w:val="00F07AA2"/>
    <w:rsid w:val="00F108F2"/>
    <w:rsid w:val="00F12DA8"/>
    <w:rsid w:val="00F12F01"/>
    <w:rsid w:val="00F1322B"/>
    <w:rsid w:val="00F13699"/>
    <w:rsid w:val="00F14585"/>
    <w:rsid w:val="00F1486F"/>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16AE"/>
    <w:rsid w:val="00F64537"/>
    <w:rsid w:val="00F64EA5"/>
    <w:rsid w:val="00F66660"/>
    <w:rsid w:val="00F66A3D"/>
    <w:rsid w:val="00F66DF3"/>
    <w:rsid w:val="00F67AB2"/>
    <w:rsid w:val="00F67D94"/>
    <w:rsid w:val="00F67F70"/>
    <w:rsid w:val="00F70EC3"/>
    <w:rsid w:val="00F70EC4"/>
    <w:rsid w:val="00F7334D"/>
    <w:rsid w:val="00F73D21"/>
    <w:rsid w:val="00F74052"/>
    <w:rsid w:val="00F74AF8"/>
    <w:rsid w:val="00F74ED0"/>
    <w:rsid w:val="00F75B44"/>
    <w:rsid w:val="00F7648C"/>
    <w:rsid w:val="00F8012B"/>
    <w:rsid w:val="00F81303"/>
    <w:rsid w:val="00F8144C"/>
    <w:rsid w:val="00F83593"/>
    <w:rsid w:val="00F837F7"/>
    <w:rsid w:val="00F8499F"/>
    <w:rsid w:val="00F85885"/>
    <w:rsid w:val="00F87351"/>
    <w:rsid w:val="00F90E30"/>
    <w:rsid w:val="00F917E4"/>
    <w:rsid w:val="00F91B00"/>
    <w:rsid w:val="00F92CFD"/>
    <w:rsid w:val="00F9424D"/>
    <w:rsid w:val="00F94956"/>
    <w:rsid w:val="00F94DFC"/>
    <w:rsid w:val="00F96574"/>
    <w:rsid w:val="00F96BAD"/>
    <w:rsid w:val="00F974D0"/>
    <w:rsid w:val="00F97A48"/>
    <w:rsid w:val="00FA08CA"/>
    <w:rsid w:val="00FA193F"/>
    <w:rsid w:val="00FA2EE5"/>
    <w:rsid w:val="00FA34B5"/>
    <w:rsid w:val="00FA3776"/>
    <w:rsid w:val="00FA3897"/>
    <w:rsid w:val="00FA729F"/>
    <w:rsid w:val="00FA75D3"/>
    <w:rsid w:val="00FB0158"/>
    <w:rsid w:val="00FB16BC"/>
    <w:rsid w:val="00FB25A0"/>
    <w:rsid w:val="00FB2D7C"/>
    <w:rsid w:val="00FB3195"/>
    <w:rsid w:val="00FB4F37"/>
    <w:rsid w:val="00FB770C"/>
    <w:rsid w:val="00FB79F1"/>
    <w:rsid w:val="00FB7E5A"/>
    <w:rsid w:val="00FC06B4"/>
    <w:rsid w:val="00FC25AB"/>
    <w:rsid w:val="00FC3544"/>
    <w:rsid w:val="00FC6E54"/>
    <w:rsid w:val="00FD1D8D"/>
    <w:rsid w:val="00FD33A2"/>
    <w:rsid w:val="00FD4B7B"/>
    <w:rsid w:val="00FD6206"/>
    <w:rsid w:val="00FD62DD"/>
    <w:rsid w:val="00FD7126"/>
    <w:rsid w:val="00FE072D"/>
    <w:rsid w:val="00FE09E7"/>
    <w:rsid w:val="00FE2161"/>
    <w:rsid w:val="00FE4C69"/>
    <w:rsid w:val="00FE543B"/>
    <w:rsid w:val="00FE54F3"/>
    <w:rsid w:val="00FE58B6"/>
    <w:rsid w:val="00FE7430"/>
    <w:rsid w:val="00FF0471"/>
    <w:rsid w:val="00FF0AAD"/>
    <w:rsid w:val="00FF29CE"/>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1D52AB-DA4A-43A2-B2BC-EB66462F7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8130</TotalTime>
  <Pages>6</Pages>
  <Words>2303</Words>
  <Characters>13131</Characters>
  <Application>Microsoft Office Word</Application>
  <DocSecurity>0</DocSecurity>
  <Lines>109</Lines>
  <Paragraphs>30</Paragraphs>
  <ScaleCrop>false</ScaleCrop>
  <Company>ZTE</Company>
  <LinksUpToDate>false</LinksUpToDate>
  <CharactersWithSpaces>15404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661</cp:revision>
  <cp:lastPrinted>2113-01-01T00:00:00Z</cp:lastPrinted>
  <dcterms:created xsi:type="dcterms:W3CDTF">2017-09-06T12:59:00Z</dcterms:created>
  <dcterms:modified xsi:type="dcterms:W3CDTF">2021-05-11T05:50:00Z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